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1728B406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F33BE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156AEA" w14:textId="77777777" w:rsidR="001A57B7" w:rsidRPr="00982699" w:rsidRDefault="00CF63A6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41674B" w:rsidRPr="005617AA">
                <w:rPr>
                  <w:rFonts w:ascii="Calibri" w:hAnsi="Calibri"/>
                  <w:sz w:val="22"/>
                  <w:szCs w:val="22"/>
                </w:rPr>
                <w:t>://</w:t>
              </w:r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4DB34EBA" w14:textId="77777777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7777777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67366681, 67366810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B456D4">
              <w:rPr>
                <w:rFonts w:ascii="Calibri" w:hAnsi="Calibri"/>
                <w:sz w:val="20"/>
              </w:rPr>
              <w:t>VSPARK</w:t>
            </w:r>
            <w:proofErr w:type="spellEnd"/>
            <w:r w:rsidRPr="00B456D4">
              <w:rPr>
                <w:rFonts w:ascii="Calibri" w:hAnsi="Calibri"/>
                <w:sz w:val="20"/>
              </w:rPr>
              <w:t xml:space="preserve">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552D0085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AF19AF">
              <w:rPr>
                <w:rFonts w:ascii="Calibri" w:hAnsi="Calibri"/>
                <w:b/>
                <w:iCs/>
                <w:szCs w:val="24"/>
              </w:rPr>
              <w:t>1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7672174B" w14:textId="77777777" w:rsidTr="00DA53C1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469D9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1E17BE90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F6499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77777777" w:rsidR="00171131" w:rsidRPr="00F33BEF" w:rsidRDefault="009C57C4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="000C3B87" w:rsidRPr="000C3B87">
              <w:rPr>
                <w:rFonts w:ascii="Calibri" w:hAnsi="Calibri"/>
                <w:sz w:val="20"/>
              </w:rPr>
              <w:t>rezultātiem var iepazīties CSP mājaslapas datubāz</w:t>
            </w:r>
            <w:r w:rsidR="000A17B8"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sadaļā </w:t>
            </w:r>
            <w:r w:rsidR="00AA1845">
              <w:rPr>
                <w:rFonts w:ascii="Calibri" w:hAnsi="Calibri"/>
                <w:sz w:val="20"/>
              </w:rPr>
              <w:t>„Transports un tūrisms”</w:t>
            </w:r>
            <w:r w:rsidR="000C3B87" w:rsidRPr="000C3B87">
              <w:rPr>
                <w:rFonts w:ascii="Calibri" w:hAnsi="Calibri"/>
                <w:sz w:val="20"/>
              </w:rPr>
              <w:t xml:space="preserve">, Latvijas statistikas gadagrāmatā un datu krājumā </w:t>
            </w:r>
            <w:r w:rsidR="00F74417">
              <w:rPr>
                <w:rFonts w:ascii="Calibri" w:hAnsi="Calibri"/>
                <w:sz w:val="20"/>
              </w:rPr>
              <w:t>„</w:t>
            </w:r>
            <w:r w:rsidR="000C3B87"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 xml:space="preserve">4. </w:t>
            </w:r>
            <w:proofErr w:type="spellStart"/>
            <w:r w:rsidRPr="00C04034">
              <w:rPr>
                <w:rFonts w:ascii="Calibri" w:hAnsi="Calibri" w:cs="Calibri"/>
                <w:b/>
                <w:sz w:val="20"/>
              </w:rPr>
              <w:t>ĢENERĀLKRAVAS</w:t>
            </w:r>
            <w:proofErr w:type="spellEnd"/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5014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2016-12-08T10:08:00Z</cp:lastPrinted>
  <dcterms:created xsi:type="dcterms:W3CDTF">2020-06-11T06:29:00Z</dcterms:created>
  <dcterms:modified xsi:type="dcterms:W3CDTF">2020-06-11T06:29:00Z</dcterms:modified>
</cp:coreProperties>
</file>