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CB695" w14:textId="2CDF9E7D" w:rsidR="008B2639" w:rsidRPr="00656C13" w:rsidRDefault="008B2639" w:rsidP="00656C13">
      <w:pPr>
        <w:spacing w:before="120" w:after="120"/>
        <w:rPr>
          <w:rFonts w:ascii="Arial" w:hAnsi="Arial" w:cs="Arial"/>
          <w:sz w:val="22"/>
          <w:lang w:val="lv-LV"/>
        </w:rPr>
      </w:pPr>
    </w:p>
    <w:tbl>
      <w:tblPr>
        <w:tblStyle w:val="TableGrid"/>
        <w:tblW w:w="0" w:type="auto"/>
        <w:tblLook w:val="04A0" w:firstRow="1" w:lastRow="0" w:firstColumn="1" w:lastColumn="0" w:noHBand="0" w:noVBand="1"/>
      </w:tblPr>
      <w:tblGrid>
        <w:gridCol w:w="4789"/>
        <w:gridCol w:w="4699"/>
      </w:tblGrid>
      <w:tr w:rsidR="008E29FC" w:rsidRPr="006A77D9" w14:paraId="69A6BBAD" w14:textId="77777777" w:rsidTr="008E29FC">
        <w:tc>
          <w:tcPr>
            <w:tcW w:w="4744" w:type="dxa"/>
          </w:tcPr>
          <w:p w14:paraId="05BEDCF6" w14:textId="448AB260" w:rsidR="008E29FC" w:rsidRPr="00656C13" w:rsidRDefault="008E29FC" w:rsidP="00656C13">
            <w:pPr>
              <w:spacing w:before="120" w:after="120"/>
              <w:rPr>
                <w:rFonts w:ascii="Arial" w:hAnsi="Arial" w:cs="Arial"/>
                <w:sz w:val="22"/>
                <w:lang w:val="lv-LV"/>
              </w:rPr>
            </w:pPr>
            <w:r w:rsidRPr="00656C13">
              <w:rPr>
                <w:rFonts w:ascii="Arial" w:hAnsi="Arial" w:cs="Arial"/>
                <w:noProof/>
                <w:sz w:val="22"/>
                <w:lang w:val="lv-LV"/>
              </w:rPr>
              <w:drawing>
                <wp:inline distT="0" distB="0" distL="0" distR="0" wp14:anchorId="17E9E7EA" wp14:editId="73FF9D1D">
                  <wp:extent cx="2904383" cy="1492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9620" cy="1500079"/>
                          </a:xfrm>
                          <a:prstGeom prst="rect">
                            <a:avLst/>
                          </a:prstGeom>
                        </pic:spPr>
                      </pic:pic>
                    </a:graphicData>
                  </a:graphic>
                </wp:inline>
              </w:drawing>
            </w:r>
          </w:p>
        </w:tc>
        <w:tc>
          <w:tcPr>
            <w:tcW w:w="4744" w:type="dxa"/>
          </w:tcPr>
          <w:p w14:paraId="062F8FA7" w14:textId="241716AC" w:rsidR="008E29FC" w:rsidRPr="00656C13" w:rsidRDefault="008E29FC" w:rsidP="00656C13">
            <w:pPr>
              <w:autoSpaceDE w:val="0"/>
              <w:autoSpaceDN w:val="0"/>
              <w:adjustRightInd w:val="0"/>
              <w:spacing w:before="120" w:after="120"/>
              <w:rPr>
                <w:rFonts w:ascii="Arial" w:hAnsi="Arial" w:cs="Arial"/>
                <w:sz w:val="22"/>
                <w:szCs w:val="22"/>
                <w:lang w:val="lv-LV"/>
              </w:rPr>
            </w:pPr>
            <w:r w:rsidRPr="00656C13">
              <w:rPr>
                <w:rFonts w:ascii="Arial" w:hAnsi="Arial" w:cs="Arial"/>
                <w:bCs/>
                <w:sz w:val="22"/>
                <w:szCs w:val="22"/>
                <w:lang w:val="lv-LV"/>
              </w:rPr>
              <w:t>IKP</w:t>
            </w:r>
            <w:r w:rsidRPr="00656C13">
              <w:rPr>
                <w:rFonts w:ascii="Arial" w:hAnsi="Arial" w:cs="Arial"/>
                <w:sz w:val="22"/>
                <w:szCs w:val="22"/>
                <w:lang w:val="lv-LV"/>
              </w:rPr>
              <w:t xml:space="preserve"> (</w:t>
            </w:r>
            <w:r w:rsidRPr="00656C13">
              <w:rPr>
                <w:rFonts w:ascii="Arial" w:hAnsi="Arial" w:cs="Arial"/>
                <w:bCs/>
                <w:sz w:val="22"/>
                <w:szCs w:val="22"/>
                <w:lang w:val="lv-LV"/>
              </w:rPr>
              <w:t>iekšzemes kopprodukts</w:t>
            </w:r>
            <w:r w:rsidRPr="00656C13">
              <w:rPr>
                <w:rFonts w:ascii="Arial" w:hAnsi="Arial" w:cs="Arial"/>
                <w:sz w:val="22"/>
                <w:szCs w:val="22"/>
                <w:lang w:val="lv-LV"/>
              </w:rPr>
              <w:t>) ir visbiežāk izmantotais valsts ekonomikas apjomu mērs. Izsakoties ļoti vienkāršotā veidā, IKP ir valsts teritorijā veidotā pievienotā vērtība jeb atalgojums un peļņa. IKP ir ienākums no rezidentu un ārvalstnieku jebkāda veida ekonomiskām darbībām noteiktā valstī.</w:t>
            </w:r>
          </w:p>
        </w:tc>
      </w:tr>
      <w:tr w:rsidR="008E29FC" w:rsidRPr="00656C13" w14:paraId="0F074CAA" w14:textId="77777777" w:rsidTr="008E29FC">
        <w:tc>
          <w:tcPr>
            <w:tcW w:w="4744" w:type="dxa"/>
          </w:tcPr>
          <w:p w14:paraId="3C7ADD06" w14:textId="64A3B909" w:rsidR="008E29FC" w:rsidRPr="00656C13" w:rsidRDefault="00F67396" w:rsidP="00656C13">
            <w:pPr>
              <w:spacing w:before="120" w:after="120"/>
              <w:rPr>
                <w:rFonts w:ascii="Arial" w:hAnsi="Arial" w:cs="Arial"/>
                <w:sz w:val="22"/>
                <w:lang w:val="lv-LV"/>
              </w:rPr>
            </w:pPr>
            <w:r>
              <w:rPr>
                <w:rFonts w:ascii="Arial" w:hAnsi="Arial" w:cs="Arial"/>
                <w:noProof/>
                <w:sz w:val="22"/>
                <w:szCs w:val="22"/>
                <w:lang w:val="lv-LV"/>
              </w:rPr>
              <w:drawing>
                <wp:inline distT="0" distB="0" distL="0" distR="0" wp14:anchorId="7CD71370" wp14:editId="74809BA8">
                  <wp:extent cx="2903855" cy="192672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9759" cy="1943915"/>
                          </a:xfrm>
                          <a:prstGeom prst="rect">
                            <a:avLst/>
                          </a:prstGeom>
                          <a:noFill/>
                          <a:ln>
                            <a:noFill/>
                          </a:ln>
                        </pic:spPr>
                      </pic:pic>
                    </a:graphicData>
                  </a:graphic>
                </wp:inline>
              </w:drawing>
            </w:r>
          </w:p>
        </w:tc>
        <w:tc>
          <w:tcPr>
            <w:tcW w:w="4744" w:type="dxa"/>
          </w:tcPr>
          <w:p w14:paraId="1A793F2A" w14:textId="046ED612" w:rsidR="008E29FC" w:rsidRPr="00656C13" w:rsidRDefault="008E29FC" w:rsidP="00656C13">
            <w:pPr>
              <w:spacing w:before="120" w:after="120"/>
              <w:rPr>
                <w:rFonts w:ascii="Arial" w:hAnsi="Arial" w:cs="Arial"/>
                <w:sz w:val="22"/>
                <w:szCs w:val="22"/>
                <w:lang w:val="lv-LV"/>
              </w:rPr>
            </w:pPr>
            <w:r w:rsidRPr="00656C13">
              <w:rPr>
                <w:rFonts w:ascii="Arial" w:hAnsi="Arial" w:cs="Arial"/>
                <w:sz w:val="22"/>
                <w:szCs w:val="22"/>
                <w:lang w:val="lv-LV"/>
              </w:rPr>
              <w:t>20</w:t>
            </w:r>
            <w:r w:rsidR="00656C13">
              <w:rPr>
                <w:rFonts w:ascii="Arial" w:hAnsi="Arial" w:cs="Arial"/>
                <w:sz w:val="22"/>
                <w:szCs w:val="22"/>
                <w:lang w:val="lv-LV"/>
              </w:rPr>
              <w:t>20</w:t>
            </w:r>
            <w:r w:rsidRPr="00656C13">
              <w:rPr>
                <w:rFonts w:ascii="Arial" w:hAnsi="Arial" w:cs="Arial"/>
                <w:sz w:val="22"/>
                <w:szCs w:val="22"/>
                <w:lang w:val="lv-LV"/>
              </w:rPr>
              <w:t xml:space="preserve">. gadā </w:t>
            </w:r>
            <w:r w:rsidRPr="00656C13">
              <w:rPr>
                <w:rFonts w:ascii="Arial" w:hAnsi="Arial" w:cs="Arial"/>
                <w:b/>
                <w:sz w:val="22"/>
                <w:szCs w:val="22"/>
                <w:lang w:val="lv-LV"/>
              </w:rPr>
              <w:t xml:space="preserve">Eiropas Savienības </w:t>
            </w:r>
            <w:r w:rsidRPr="00656C13">
              <w:rPr>
                <w:rFonts w:ascii="Arial" w:hAnsi="Arial" w:cs="Arial"/>
                <w:sz w:val="22"/>
                <w:szCs w:val="22"/>
                <w:lang w:val="lv-LV"/>
              </w:rPr>
              <w:t xml:space="preserve">IKP bija </w:t>
            </w:r>
            <w:r w:rsidR="00656C13">
              <w:rPr>
                <w:rFonts w:ascii="Arial" w:hAnsi="Arial" w:cs="Arial"/>
                <w:sz w:val="22"/>
                <w:szCs w:val="22"/>
                <w:lang w:val="lv-LV"/>
              </w:rPr>
              <w:t>13,34</w:t>
            </w:r>
            <w:r w:rsidRPr="00656C13">
              <w:rPr>
                <w:rFonts w:ascii="Arial" w:hAnsi="Arial" w:cs="Arial"/>
                <w:sz w:val="22"/>
                <w:szCs w:val="22"/>
                <w:lang w:val="lv-LV"/>
              </w:rPr>
              <w:t xml:space="preserve"> triljoni eiro. </w:t>
            </w:r>
            <w:r w:rsidRPr="00656C13">
              <w:rPr>
                <w:rFonts w:ascii="Arial" w:hAnsi="Arial" w:cs="Arial"/>
                <w:b/>
                <w:sz w:val="22"/>
                <w:szCs w:val="22"/>
                <w:lang w:val="lv-LV"/>
              </w:rPr>
              <w:t xml:space="preserve">Vācijas, </w:t>
            </w:r>
            <w:r w:rsidR="00656C13">
              <w:rPr>
                <w:rFonts w:ascii="Arial" w:hAnsi="Arial" w:cs="Arial"/>
                <w:b/>
                <w:sz w:val="22"/>
                <w:szCs w:val="22"/>
                <w:lang w:val="lv-LV"/>
              </w:rPr>
              <w:t>Francijas</w:t>
            </w:r>
            <w:r w:rsidRPr="00656C13">
              <w:rPr>
                <w:rFonts w:ascii="Arial" w:hAnsi="Arial" w:cs="Arial"/>
                <w:b/>
                <w:sz w:val="22"/>
                <w:szCs w:val="22"/>
                <w:lang w:val="lv-LV"/>
              </w:rPr>
              <w:t xml:space="preserve"> </w:t>
            </w:r>
            <w:r w:rsidRPr="00656C13">
              <w:rPr>
                <w:rFonts w:ascii="Arial" w:hAnsi="Arial" w:cs="Arial"/>
                <w:sz w:val="22"/>
                <w:szCs w:val="22"/>
                <w:lang w:val="lv-LV"/>
              </w:rPr>
              <w:t>un</w:t>
            </w:r>
            <w:r w:rsidRPr="00656C13">
              <w:rPr>
                <w:rFonts w:ascii="Arial" w:hAnsi="Arial" w:cs="Arial"/>
                <w:b/>
                <w:sz w:val="22"/>
                <w:szCs w:val="22"/>
                <w:lang w:val="lv-LV"/>
              </w:rPr>
              <w:t xml:space="preserve"> </w:t>
            </w:r>
            <w:r w:rsidR="00656C13">
              <w:rPr>
                <w:rFonts w:ascii="Arial" w:hAnsi="Arial" w:cs="Arial"/>
                <w:b/>
                <w:sz w:val="22"/>
                <w:szCs w:val="22"/>
                <w:lang w:val="lv-LV"/>
              </w:rPr>
              <w:t>Itālijas</w:t>
            </w:r>
            <w:r w:rsidRPr="00656C13">
              <w:rPr>
                <w:rFonts w:ascii="Arial" w:hAnsi="Arial" w:cs="Arial"/>
                <w:sz w:val="22"/>
                <w:szCs w:val="22"/>
                <w:lang w:val="lv-LV"/>
              </w:rPr>
              <w:t xml:space="preserve"> IKP sastādīja </w:t>
            </w:r>
            <w:r w:rsidR="00656C13">
              <w:rPr>
                <w:rFonts w:ascii="Arial" w:hAnsi="Arial" w:cs="Arial"/>
                <w:sz w:val="22"/>
                <w:szCs w:val="22"/>
                <w:lang w:val="lv-LV"/>
              </w:rPr>
              <w:t>54,8</w:t>
            </w:r>
            <w:r w:rsidRPr="00656C13">
              <w:rPr>
                <w:rFonts w:ascii="Arial" w:hAnsi="Arial" w:cs="Arial"/>
                <w:sz w:val="22"/>
                <w:szCs w:val="22"/>
                <w:lang w:val="lv-LV"/>
              </w:rPr>
              <w:t xml:space="preserve">%  no </w:t>
            </w:r>
            <w:r w:rsidRPr="00656C13">
              <w:rPr>
                <w:rFonts w:ascii="Arial" w:hAnsi="Arial" w:cs="Arial"/>
                <w:b/>
                <w:sz w:val="22"/>
                <w:szCs w:val="22"/>
                <w:lang w:val="lv-LV"/>
              </w:rPr>
              <w:t>ES-</w:t>
            </w:r>
            <w:r w:rsidR="00656C13">
              <w:rPr>
                <w:rFonts w:ascii="Arial" w:hAnsi="Arial" w:cs="Arial"/>
                <w:b/>
                <w:sz w:val="22"/>
                <w:szCs w:val="22"/>
                <w:lang w:val="lv-LV"/>
              </w:rPr>
              <w:t>27</w:t>
            </w:r>
            <w:r w:rsidRPr="00656C13">
              <w:rPr>
                <w:rFonts w:ascii="Arial" w:hAnsi="Arial" w:cs="Arial"/>
                <w:sz w:val="22"/>
                <w:szCs w:val="22"/>
                <w:lang w:val="lv-LV"/>
              </w:rPr>
              <w:t xml:space="preserve"> kopējā IKP apjoma. Jāatzīmē, ka Baltijas valstu pienesums Eiropas Savienības kopējā IKP apjomā bija neliels, </w:t>
            </w:r>
            <w:r w:rsidRPr="00656C13">
              <w:rPr>
                <w:rFonts w:ascii="Arial" w:hAnsi="Arial" w:cs="Arial"/>
                <w:b/>
                <w:sz w:val="22"/>
                <w:szCs w:val="22"/>
                <w:lang w:val="lv-LV"/>
              </w:rPr>
              <w:t>Latvijas</w:t>
            </w:r>
            <w:r w:rsidRPr="00656C13">
              <w:rPr>
                <w:rFonts w:ascii="Arial" w:hAnsi="Arial" w:cs="Arial"/>
                <w:sz w:val="22"/>
                <w:szCs w:val="22"/>
                <w:lang w:val="lv-LV"/>
              </w:rPr>
              <w:t xml:space="preserve"> IKP veidoja tikai 0,</w:t>
            </w:r>
            <w:r w:rsidR="00656C13">
              <w:rPr>
                <w:rFonts w:ascii="Arial" w:hAnsi="Arial" w:cs="Arial"/>
                <w:sz w:val="22"/>
                <w:szCs w:val="22"/>
                <w:lang w:val="lv-LV"/>
              </w:rPr>
              <w:t>22</w:t>
            </w:r>
            <w:r w:rsidRPr="00656C13">
              <w:rPr>
                <w:rFonts w:ascii="Arial" w:hAnsi="Arial" w:cs="Arial"/>
                <w:sz w:val="22"/>
                <w:szCs w:val="22"/>
                <w:lang w:val="lv-LV"/>
              </w:rPr>
              <w:t xml:space="preserve"> % no </w:t>
            </w:r>
            <w:r w:rsidRPr="00656C13">
              <w:rPr>
                <w:rFonts w:ascii="Arial" w:hAnsi="Arial" w:cs="Arial"/>
                <w:b/>
                <w:sz w:val="22"/>
                <w:szCs w:val="22"/>
                <w:lang w:val="lv-LV"/>
              </w:rPr>
              <w:t>ES-2</w:t>
            </w:r>
            <w:r w:rsidR="00656C13">
              <w:rPr>
                <w:rFonts w:ascii="Arial" w:hAnsi="Arial" w:cs="Arial"/>
                <w:b/>
                <w:sz w:val="22"/>
                <w:szCs w:val="22"/>
                <w:lang w:val="lv-LV"/>
              </w:rPr>
              <w:t>7</w:t>
            </w:r>
            <w:r w:rsidRPr="00656C13">
              <w:rPr>
                <w:rFonts w:ascii="Arial" w:hAnsi="Arial" w:cs="Arial"/>
                <w:sz w:val="22"/>
                <w:szCs w:val="22"/>
                <w:lang w:val="lv-LV"/>
              </w:rPr>
              <w:t xml:space="preserve"> kopējā IKP, </w:t>
            </w:r>
            <w:r w:rsidRPr="00656C13">
              <w:rPr>
                <w:rFonts w:ascii="Arial" w:hAnsi="Arial" w:cs="Arial"/>
                <w:b/>
                <w:sz w:val="22"/>
                <w:szCs w:val="22"/>
                <w:lang w:val="lv-LV"/>
              </w:rPr>
              <w:t>Lietuvas</w:t>
            </w:r>
            <w:r w:rsidRPr="00656C13">
              <w:rPr>
                <w:rFonts w:ascii="Arial" w:hAnsi="Arial" w:cs="Arial"/>
                <w:sz w:val="22"/>
                <w:szCs w:val="22"/>
                <w:lang w:val="lv-LV"/>
              </w:rPr>
              <w:t xml:space="preserve"> – 0,</w:t>
            </w:r>
            <w:r w:rsidR="00656C13">
              <w:rPr>
                <w:rFonts w:ascii="Arial" w:hAnsi="Arial" w:cs="Arial"/>
                <w:sz w:val="22"/>
                <w:szCs w:val="22"/>
                <w:lang w:val="lv-LV"/>
              </w:rPr>
              <w:t>37</w:t>
            </w:r>
            <w:r w:rsidRPr="00656C13">
              <w:rPr>
                <w:rFonts w:ascii="Arial" w:hAnsi="Arial" w:cs="Arial"/>
                <w:sz w:val="22"/>
                <w:szCs w:val="22"/>
                <w:lang w:val="lv-LV"/>
              </w:rPr>
              <w:t xml:space="preserve"> % un </w:t>
            </w:r>
            <w:r w:rsidRPr="00656C13">
              <w:rPr>
                <w:rFonts w:ascii="Arial" w:hAnsi="Arial" w:cs="Arial"/>
                <w:b/>
                <w:sz w:val="22"/>
                <w:szCs w:val="22"/>
                <w:lang w:val="lv-LV"/>
              </w:rPr>
              <w:t>Igaunijas</w:t>
            </w:r>
            <w:r w:rsidRPr="00656C13">
              <w:rPr>
                <w:rFonts w:ascii="Arial" w:hAnsi="Arial" w:cs="Arial"/>
                <w:sz w:val="22"/>
                <w:szCs w:val="22"/>
                <w:lang w:val="lv-LV"/>
              </w:rPr>
              <w:t xml:space="preserve"> – 0,</w:t>
            </w:r>
            <w:r w:rsidR="00656C13">
              <w:rPr>
                <w:rFonts w:ascii="Arial" w:hAnsi="Arial" w:cs="Arial"/>
                <w:sz w:val="22"/>
                <w:szCs w:val="22"/>
                <w:lang w:val="lv-LV"/>
              </w:rPr>
              <w:t>2</w:t>
            </w:r>
            <w:r w:rsidRPr="00656C13">
              <w:rPr>
                <w:rFonts w:ascii="Arial" w:hAnsi="Arial" w:cs="Arial"/>
                <w:sz w:val="22"/>
                <w:szCs w:val="22"/>
                <w:lang w:val="lv-LV"/>
              </w:rPr>
              <w:t>%.</w:t>
            </w:r>
          </w:p>
          <w:p w14:paraId="507E0EB6" w14:textId="6F22F252" w:rsidR="008E29FC" w:rsidRPr="00656C13" w:rsidRDefault="008E29FC" w:rsidP="00656C13">
            <w:pPr>
              <w:spacing w:before="120" w:after="120"/>
              <w:rPr>
                <w:rFonts w:ascii="Arial" w:hAnsi="Arial" w:cs="Arial"/>
                <w:sz w:val="22"/>
                <w:lang w:val="lv-LV"/>
              </w:rPr>
            </w:pPr>
            <w:r w:rsidRPr="00656C13">
              <w:rPr>
                <w:rFonts w:ascii="Arial" w:hAnsi="Arial" w:cs="Arial"/>
                <w:b/>
                <w:bCs/>
                <w:sz w:val="22"/>
                <w:lang w:val="lv-LV"/>
              </w:rPr>
              <w:t>Avots</w:t>
            </w:r>
            <w:r w:rsidRPr="00656C13">
              <w:rPr>
                <w:rFonts w:ascii="Arial" w:hAnsi="Arial" w:cs="Arial"/>
                <w:sz w:val="22"/>
                <w:lang w:val="lv-LV"/>
              </w:rPr>
              <w:t xml:space="preserve">: </w:t>
            </w:r>
            <w:proofErr w:type="spellStart"/>
            <w:r w:rsidR="00656C13" w:rsidRPr="00656C13">
              <w:rPr>
                <w:rFonts w:ascii="Arial" w:hAnsi="Arial" w:cs="Arial"/>
                <w:sz w:val="22"/>
                <w:lang w:val="lv-LV"/>
              </w:rPr>
              <w:t>Eurostat</w:t>
            </w:r>
            <w:proofErr w:type="spellEnd"/>
            <w:r w:rsidR="00656C13" w:rsidRPr="00656C13">
              <w:rPr>
                <w:rFonts w:ascii="Arial" w:hAnsi="Arial" w:cs="Arial"/>
                <w:sz w:val="22"/>
                <w:lang w:val="lv-LV"/>
              </w:rPr>
              <w:t xml:space="preserve"> datubāze </w:t>
            </w:r>
            <w:hyperlink r:id="rId9" w:history="1">
              <w:r w:rsidR="00656C13" w:rsidRPr="00656C13">
                <w:rPr>
                  <w:rStyle w:val="Hyperlink"/>
                  <w:rFonts w:ascii="Arial" w:hAnsi="Arial" w:cs="Arial"/>
                  <w:color w:val="004494"/>
                  <w:sz w:val="22"/>
                  <w:szCs w:val="22"/>
                  <w:bdr w:val="none" w:sz="0" w:space="0" w:color="auto" w:frame="1"/>
                  <w:shd w:val="clear" w:color="auto" w:fill="FFFFFF"/>
                </w:rPr>
                <w:t>GDP and main components (output, expenditure and income) [NAMA_10_GDP]</w:t>
              </w:r>
            </w:hyperlink>
          </w:p>
        </w:tc>
      </w:tr>
    </w:tbl>
    <w:p w14:paraId="26AC75A8" w14:textId="77777777" w:rsidR="00CC454E" w:rsidRDefault="006A77D9" w:rsidP="00656C13">
      <w:pPr>
        <w:spacing w:before="120" w:after="120"/>
        <w:rPr>
          <w:sz w:val="20"/>
          <w:szCs w:val="20"/>
          <w:lang w:val="lv-LV" w:eastAsia="lv-LV"/>
        </w:rPr>
      </w:pPr>
      <w:r>
        <w:rPr>
          <w:lang w:val="lv-LV"/>
        </w:rPr>
        <w:fldChar w:fldCharType="begin"/>
      </w:r>
      <w:r>
        <w:rPr>
          <w:lang w:val="lv-LV"/>
        </w:rPr>
        <w:instrText xml:space="preserve"> LINK Excel.Sheet.12 "C:\\Users\\iurbane\\Desktop\\Skolēnu stūrītis\\Saimniecības ģeogrāfija\\Ekonomikas apjoms ES\\Ekonomikas apjoms ES.xlsx" "Kopējais IKP ES!R9C15:R25C20" \a \f 4 \h </w:instrText>
      </w:r>
      <w:r w:rsidR="00CC454E">
        <w:rPr>
          <w:lang w:val="lv-LV"/>
        </w:rPr>
        <w:fldChar w:fldCharType="separate"/>
      </w:r>
    </w:p>
    <w:tbl>
      <w:tblPr>
        <w:tblW w:w="7680" w:type="dxa"/>
        <w:tblLook w:val="04A0" w:firstRow="1" w:lastRow="0" w:firstColumn="1" w:lastColumn="0" w:noHBand="0" w:noVBand="1"/>
      </w:tblPr>
      <w:tblGrid>
        <w:gridCol w:w="1280"/>
        <w:gridCol w:w="1280"/>
        <w:gridCol w:w="1280"/>
        <w:gridCol w:w="1397"/>
        <w:gridCol w:w="1280"/>
        <w:gridCol w:w="1280"/>
      </w:tblGrid>
      <w:tr w:rsidR="00CC454E" w:rsidRPr="00CC454E" w14:paraId="4AC84D0F" w14:textId="77777777" w:rsidTr="00CC454E">
        <w:trPr>
          <w:divId w:val="2036417083"/>
          <w:trHeight w:val="290"/>
        </w:trPr>
        <w:tc>
          <w:tcPr>
            <w:tcW w:w="1280" w:type="dxa"/>
            <w:tcBorders>
              <w:top w:val="nil"/>
              <w:left w:val="nil"/>
              <w:bottom w:val="nil"/>
              <w:right w:val="nil"/>
            </w:tcBorders>
            <w:shd w:val="clear" w:color="auto" w:fill="auto"/>
            <w:noWrap/>
            <w:vAlign w:val="bottom"/>
            <w:hideMark/>
          </w:tcPr>
          <w:p w14:paraId="75678E12" w14:textId="54BE616D" w:rsidR="00CC454E" w:rsidRPr="00CC454E" w:rsidRDefault="00CC454E" w:rsidP="00CC454E">
            <w:pPr>
              <w:rPr>
                <w:lang w:val="lv-LV" w:eastAsia="lv-LV"/>
              </w:rPr>
            </w:pPr>
          </w:p>
        </w:tc>
        <w:tc>
          <w:tcPr>
            <w:tcW w:w="1280" w:type="dxa"/>
            <w:tcBorders>
              <w:top w:val="single" w:sz="4" w:space="0" w:color="auto"/>
              <w:left w:val="single" w:sz="4" w:space="0" w:color="auto"/>
              <w:bottom w:val="single" w:sz="4" w:space="0" w:color="auto"/>
              <w:right w:val="single" w:sz="4" w:space="0" w:color="B0B0B0"/>
            </w:tcBorders>
            <w:shd w:val="clear" w:color="000000" w:fill="EAF3FA"/>
            <w:noWrap/>
            <w:vAlign w:val="center"/>
            <w:hideMark/>
          </w:tcPr>
          <w:p w14:paraId="20C23530" w14:textId="77777777" w:rsidR="00CC454E" w:rsidRPr="00CC454E" w:rsidRDefault="00CC454E" w:rsidP="00CC454E">
            <w:pPr>
              <w:jc w:val="center"/>
              <w:rPr>
                <w:rFonts w:ascii="Arial" w:hAnsi="Arial" w:cs="Arial"/>
                <w:b/>
                <w:bCs/>
                <w:color w:val="000000"/>
                <w:sz w:val="20"/>
                <w:szCs w:val="20"/>
                <w:lang w:val="lv-LV" w:eastAsia="lv-LV"/>
              </w:rPr>
            </w:pPr>
            <w:r w:rsidRPr="00CC454E">
              <w:rPr>
                <w:rFonts w:ascii="Arial" w:hAnsi="Arial" w:cs="Arial"/>
                <w:b/>
                <w:bCs/>
                <w:color w:val="000000"/>
                <w:sz w:val="20"/>
                <w:szCs w:val="20"/>
                <w:lang w:val="lv-LV" w:eastAsia="lv-LV"/>
              </w:rPr>
              <w:t>2020</w:t>
            </w:r>
          </w:p>
        </w:tc>
        <w:tc>
          <w:tcPr>
            <w:tcW w:w="1280" w:type="dxa"/>
            <w:tcBorders>
              <w:top w:val="single" w:sz="4" w:space="0" w:color="auto"/>
              <w:left w:val="nil"/>
              <w:bottom w:val="single" w:sz="4" w:space="0" w:color="auto"/>
              <w:right w:val="single" w:sz="4" w:space="0" w:color="auto"/>
            </w:tcBorders>
            <w:shd w:val="clear" w:color="000000" w:fill="EAF3FA"/>
            <w:noWrap/>
            <w:vAlign w:val="center"/>
            <w:hideMark/>
          </w:tcPr>
          <w:p w14:paraId="557F3499" w14:textId="77777777" w:rsidR="00CC454E" w:rsidRPr="00CC454E" w:rsidRDefault="00CC454E" w:rsidP="00CC454E">
            <w:pPr>
              <w:jc w:val="center"/>
              <w:rPr>
                <w:rFonts w:ascii="Arial" w:hAnsi="Arial" w:cs="Arial"/>
                <w:b/>
                <w:bCs/>
                <w:color w:val="000000"/>
                <w:sz w:val="20"/>
                <w:szCs w:val="20"/>
                <w:lang w:val="lv-LV" w:eastAsia="lv-LV"/>
              </w:rPr>
            </w:pPr>
            <w:r w:rsidRPr="00CC454E">
              <w:rPr>
                <w:rFonts w:ascii="Arial" w:hAnsi="Arial" w:cs="Arial"/>
                <w:b/>
                <w:bCs/>
                <w:color w:val="000000"/>
                <w:sz w:val="20"/>
                <w:szCs w:val="20"/>
                <w:lang w:val="lv-LV" w:eastAsia="lv-LV"/>
              </w:rPr>
              <w:t>% no kopējā</w:t>
            </w:r>
          </w:p>
        </w:tc>
        <w:tc>
          <w:tcPr>
            <w:tcW w:w="1280" w:type="dxa"/>
            <w:tcBorders>
              <w:top w:val="nil"/>
              <w:left w:val="nil"/>
              <w:bottom w:val="nil"/>
              <w:right w:val="nil"/>
            </w:tcBorders>
            <w:shd w:val="clear" w:color="auto" w:fill="auto"/>
            <w:noWrap/>
            <w:vAlign w:val="bottom"/>
            <w:hideMark/>
          </w:tcPr>
          <w:p w14:paraId="0C11BA56" w14:textId="77777777" w:rsidR="00CC454E" w:rsidRPr="00CC454E" w:rsidRDefault="00CC454E" w:rsidP="00CC454E">
            <w:pPr>
              <w:jc w:val="center"/>
              <w:rPr>
                <w:rFonts w:ascii="Arial" w:hAnsi="Arial" w:cs="Arial"/>
                <w:b/>
                <w:bCs/>
                <w:color w:val="000000"/>
                <w:sz w:val="20"/>
                <w:szCs w:val="20"/>
                <w:lang w:val="lv-LV" w:eastAsia="lv-LV"/>
              </w:rPr>
            </w:pPr>
          </w:p>
        </w:tc>
        <w:tc>
          <w:tcPr>
            <w:tcW w:w="1280" w:type="dxa"/>
            <w:tcBorders>
              <w:top w:val="single" w:sz="4" w:space="0" w:color="auto"/>
              <w:left w:val="single" w:sz="4" w:space="0" w:color="auto"/>
              <w:bottom w:val="single" w:sz="4" w:space="0" w:color="auto"/>
              <w:right w:val="single" w:sz="4" w:space="0" w:color="B0B0B0"/>
            </w:tcBorders>
            <w:shd w:val="clear" w:color="000000" w:fill="EAF3FA"/>
            <w:noWrap/>
            <w:vAlign w:val="center"/>
            <w:hideMark/>
          </w:tcPr>
          <w:p w14:paraId="1F26262C" w14:textId="77777777" w:rsidR="00CC454E" w:rsidRPr="00CC454E" w:rsidRDefault="00CC454E" w:rsidP="00CC454E">
            <w:pPr>
              <w:jc w:val="center"/>
              <w:rPr>
                <w:rFonts w:ascii="Arial" w:hAnsi="Arial" w:cs="Arial"/>
                <w:b/>
                <w:bCs/>
                <w:color w:val="000000"/>
                <w:sz w:val="20"/>
                <w:szCs w:val="20"/>
                <w:lang w:val="lv-LV" w:eastAsia="lv-LV"/>
              </w:rPr>
            </w:pPr>
            <w:r w:rsidRPr="00CC454E">
              <w:rPr>
                <w:rFonts w:ascii="Arial" w:hAnsi="Arial" w:cs="Arial"/>
                <w:b/>
                <w:bCs/>
                <w:color w:val="000000"/>
                <w:sz w:val="20"/>
                <w:szCs w:val="20"/>
                <w:lang w:val="lv-LV" w:eastAsia="lv-LV"/>
              </w:rPr>
              <w:t>2020</w:t>
            </w:r>
          </w:p>
        </w:tc>
        <w:tc>
          <w:tcPr>
            <w:tcW w:w="1280" w:type="dxa"/>
            <w:tcBorders>
              <w:top w:val="single" w:sz="4" w:space="0" w:color="auto"/>
              <w:left w:val="nil"/>
              <w:bottom w:val="single" w:sz="4" w:space="0" w:color="auto"/>
              <w:right w:val="single" w:sz="4" w:space="0" w:color="auto"/>
            </w:tcBorders>
            <w:shd w:val="clear" w:color="000000" w:fill="EAF3FA"/>
            <w:noWrap/>
            <w:vAlign w:val="center"/>
            <w:hideMark/>
          </w:tcPr>
          <w:p w14:paraId="159330EA" w14:textId="77777777" w:rsidR="00CC454E" w:rsidRPr="00CC454E" w:rsidRDefault="00CC454E" w:rsidP="00CC454E">
            <w:pPr>
              <w:jc w:val="center"/>
              <w:rPr>
                <w:rFonts w:ascii="Arial" w:hAnsi="Arial" w:cs="Arial"/>
                <w:b/>
                <w:bCs/>
                <w:color w:val="000000"/>
                <w:sz w:val="20"/>
                <w:szCs w:val="20"/>
                <w:lang w:val="lv-LV" w:eastAsia="lv-LV"/>
              </w:rPr>
            </w:pPr>
            <w:r w:rsidRPr="00CC454E">
              <w:rPr>
                <w:rFonts w:ascii="Arial" w:hAnsi="Arial" w:cs="Arial"/>
                <w:b/>
                <w:bCs/>
                <w:color w:val="000000"/>
                <w:sz w:val="20"/>
                <w:szCs w:val="20"/>
                <w:lang w:val="lv-LV" w:eastAsia="lv-LV"/>
              </w:rPr>
              <w:t>% no kopējā</w:t>
            </w:r>
          </w:p>
        </w:tc>
      </w:tr>
      <w:tr w:rsidR="00CC454E" w:rsidRPr="00CC454E" w14:paraId="04F97988" w14:textId="77777777" w:rsidTr="00CC454E">
        <w:trPr>
          <w:divId w:val="2036417083"/>
          <w:trHeight w:val="290"/>
        </w:trPr>
        <w:tc>
          <w:tcPr>
            <w:tcW w:w="1280" w:type="dxa"/>
            <w:tcBorders>
              <w:top w:val="single" w:sz="4" w:space="0" w:color="auto"/>
              <w:left w:val="single" w:sz="4" w:space="0" w:color="auto"/>
              <w:bottom w:val="single" w:sz="4" w:space="0" w:color="B0B0B0"/>
              <w:right w:val="single" w:sz="4" w:space="0" w:color="auto"/>
            </w:tcBorders>
            <w:shd w:val="clear" w:color="000000" w:fill="EAF3FA"/>
            <w:noWrap/>
            <w:vAlign w:val="center"/>
            <w:hideMark/>
          </w:tcPr>
          <w:p w14:paraId="0141204E"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 xml:space="preserve">ES </w:t>
            </w:r>
          </w:p>
        </w:tc>
        <w:tc>
          <w:tcPr>
            <w:tcW w:w="1280" w:type="dxa"/>
            <w:tcBorders>
              <w:top w:val="nil"/>
              <w:left w:val="nil"/>
              <w:bottom w:val="nil"/>
              <w:right w:val="nil"/>
            </w:tcBorders>
            <w:shd w:val="clear" w:color="000000" w:fill="EAF3FA"/>
            <w:noWrap/>
            <w:vAlign w:val="center"/>
            <w:hideMark/>
          </w:tcPr>
          <w:p w14:paraId="3A80FA5F"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13 348 749.0</w:t>
            </w:r>
          </w:p>
        </w:tc>
        <w:tc>
          <w:tcPr>
            <w:tcW w:w="1280" w:type="dxa"/>
            <w:tcBorders>
              <w:top w:val="nil"/>
              <w:left w:val="nil"/>
              <w:bottom w:val="nil"/>
              <w:right w:val="single" w:sz="4" w:space="0" w:color="auto"/>
            </w:tcBorders>
            <w:shd w:val="clear" w:color="000000" w:fill="EAF3FA"/>
            <w:noWrap/>
            <w:vAlign w:val="bottom"/>
            <w:hideMark/>
          </w:tcPr>
          <w:p w14:paraId="0111E489"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 </w:t>
            </w:r>
          </w:p>
        </w:tc>
        <w:tc>
          <w:tcPr>
            <w:tcW w:w="1280" w:type="dxa"/>
            <w:tcBorders>
              <w:top w:val="single" w:sz="4" w:space="0" w:color="auto"/>
              <w:left w:val="nil"/>
              <w:bottom w:val="single" w:sz="4" w:space="0" w:color="B0B0B0"/>
              <w:right w:val="single" w:sz="4" w:space="0" w:color="auto"/>
            </w:tcBorders>
            <w:shd w:val="clear" w:color="000000" w:fill="EAF3FA"/>
            <w:noWrap/>
            <w:vAlign w:val="center"/>
            <w:hideMark/>
          </w:tcPr>
          <w:p w14:paraId="2679086E"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Čehija</w:t>
            </w:r>
          </w:p>
        </w:tc>
        <w:tc>
          <w:tcPr>
            <w:tcW w:w="1280" w:type="dxa"/>
            <w:tcBorders>
              <w:top w:val="nil"/>
              <w:left w:val="nil"/>
              <w:bottom w:val="nil"/>
              <w:right w:val="nil"/>
            </w:tcBorders>
            <w:shd w:val="clear" w:color="000000" w:fill="EAF3FA"/>
            <w:noWrap/>
            <w:vAlign w:val="center"/>
            <w:hideMark/>
          </w:tcPr>
          <w:p w14:paraId="0C452155"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215 257.0</w:t>
            </w:r>
          </w:p>
        </w:tc>
        <w:tc>
          <w:tcPr>
            <w:tcW w:w="1280" w:type="dxa"/>
            <w:tcBorders>
              <w:top w:val="nil"/>
              <w:left w:val="nil"/>
              <w:bottom w:val="nil"/>
              <w:right w:val="single" w:sz="4" w:space="0" w:color="auto"/>
            </w:tcBorders>
            <w:shd w:val="clear" w:color="000000" w:fill="EAF3FA"/>
            <w:noWrap/>
            <w:vAlign w:val="bottom"/>
            <w:hideMark/>
          </w:tcPr>
          <w:p w14:paraId="531C6FCA"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1.61</w:t>
            </w:r>
          </w:p>
        </w:tc>
      </w:tr>
      <w:tr w:rsidR="00CC454E" w:rsidRPr="00CC454E" w14:paraId="14C9B689" w14:textId="77777777" w:rsidTr="00CC454E">
        <w:trPr>
          <w:divId w:val="2036417083"/>
          <w:trHeight w:val="290"/>
        </w:trPr>
        <w:tc>
          <w:tcPr>
            <w:tcW w:w="1280" w:type="dxa"/>
            <w:tcBorders>
              <w:top w:val="nil"/>
              <w:left w:val="single" w:sz="4" w:space="0" w:color="auto"/>
              <w:bottom w:val="single" w:sz="4" w:space="0" w:color="B0B0B0"/>
              <w:right w:val="single" w:sz="4" w:space="0" w:color="auto"/>
            </w:tcBorders>
            <w:shd w:val="clear" w:color="000000" w:fill="EAF3FA"/>
            <w:noWrap/>
            <w:vAlign w:val="center"/>
            <w:hideMark/>
          </w:tcPr>
          <w:p w14:paraId="71B809CE"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Vācija</w:t>
            </w:r>
          </w:p>
        </w:tc>
        <w:tc>
          <w:tcPr>
            <w:tcW w:w="1280" w:type="dxa"/>
            <w:tcBorders>
              <w:top w:val="nil"/>
              <w:left w:val="nil"/>
              <w:bottom w:val="nil"/>
              <w:right w:val="nil"/>
            </w:tcBorders>
            <w:shd w:val="clear" w:color="000000" w:fill="E2EFDA"/>
            <w:noWrap/>
            <w:vAlign w:val="center"/>
            <w:hideMark/>
          </w:tcPr>
          <w:p w14:paraId="3C5D14E7"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3 367 560.0</w:t>
            </w:r>
          </w:p>
        </w:tc>
        <w:tc>
          <w:tcPr>
            <w:tcW w:w="1280" w:type="dxa"/>
            <w:tcBorders>
              <w:top w:val="nil"/>
              <w:left w:val="nil"/>
              <w:bottom w:val="nil"/>
              <w:right w:val="single" w:sz="4" w:space="0" w:color="auto"/>
            </w:tcBorders>
            <w:shd w:val="clear" w:color="000000" w:fill="EAF3FA"/>
            <w:noWrap/>
            <w:vAlign w:val="bottom"/>
            <w:hideMark/>
          </w:tcPr>
          <w:p w14:paraId="59F7BF81"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25.23</w:t>
            </w:r>
          </w:p>
        </w:tc>
        <w:tc>
          <w:tcPr>
            <w:tcW w:w="1280" w:type="dxa"/>
            <w:tcBorders>
              <w:top w:val="nil"/>
              <w:left w:val="nil"/>
              <w:bottom w:val="single" w:sz="4" w:space="0" w:color="B0B0B0"/>
              <w:right w:val="single" w:sz="4" w:space="0" w:color="auto"/>
            </w:tcBorders>
            <w:shd w:val="clear" w:color="000000" w:fill="EAF3FA"/>
            <w:noWrap/>
            <w:vAlign w:val="center"/>
            <w:hideMark/>
          </w:tcPr>
          <w:p w14:paraId="107A8CAF"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Portugāle</w:t>
            </w:r>
          </w:p>
        </w:tc>
        <w:tc>
          <w:tcPr>
            <w:tcW w:w="1280" w:type="dxa"/>
            <w:tcBorders>
              <w:top w:val="nil"/>
              <w:left w:val="nil"/>
              <w:bottom w:val="nil"/>
              <w:right w:val="nil"/>
            </w:tcBorders>
            <w:shd w:val="clear" w:color="000000" w:fill="FFF2CC"/>
            <w:noWrap/>
            <w:vAlign w:val="center"/>
            <w:hideMark/>
          </w:tcPr>
          <w:p w14:paraId="4873E0BA"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202 440.5</w:t>
            </w:r>
          </w:p>
        </w:tc>
        <w:tc>
          <w:tcPr>
            <w:tcW w:w="1280" w:type="dxa"/>
            <w:tcBorders>
              <w:top w:val="nil"/>
              <w:left w:val="nil"/>
              <w:bottom w:val="nil"/>
              <w:right w:val="single" w:sz="4" w:space="0" w:color="auto"/>
            </w:tcBorders>
            <w:shd w:val="clear" w:color="000000" w:fill="EAF3FA"/>
            <w:noWrap/>
            <w:vAlign w:val="bottom"/>
            <w:hideMark/>
          </w:tcPr>
          <w:p w14:paraId="20812088"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1.52</w:t>
            </w:r>
          </w:p>
        </w:tc>
      </w:tr>
      <w:tr w:rsidR="00CC454E" w:rsidRPr="00CC454E" w14:paraId="6A3F3EA8" w14:textId="77777777" w:rsidTr="00CC454E">
        <w:trPr>
          <w:divId w:val="2036417083"/>
          <w:trHeight w:val="290"/>
        </w:trPr>
        <w:tc>
          <w:tcPr>
            <w:tcW w:w="1280" w:type="dxa"/>
            <w:tcBorders>
              <w:top w:val="nil"/>
              <w:left w:val="single" w:sz="4" w:space="0" w:color="auto"/>
              <w:bottom w:val="single" w:sz="4" w:space="0" w:color="B0B0B0"/>
              <w:right w:val="single" w:sz="4" w:space="0" w:color="auto"/>
            </w:tcBorders>
            <w:shd w:val="clear" w:color="000000" w:fill="EAF3FA"/>
            <w:noWrap/>
            <w:vAlign w:val="center"/>
            <w:hideMark/>
          </w:tcPr>
          <w:p w14:paraId="196C50EE"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Francija</w:t>
            </w:r>
          </w:p>
        </w:tc>
        <w:tc>
          <w:tcPr>
            <w:tcW w:w="1280" w:type="dxa"/>
            <w:tcBorders>
              <w:top w:val="nil"/>
              <w:left w:val="nil"/>
              <w:bottom w:val="nil"/>
              <w:right w:val="nil"/>
            </w:tcBorders>
            <w:shd w:val="clear" w:color="000000" w:fill="E2EFDA"/>
            <w:noWrap/>
            <w:vAlign w:val="center"/>
            <w:hideMark/>
          </w:tcPr>
          <w:p w14:paraId="6B6985E9"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2 302 860.0</w:t>
            </w:r>
          </w:p>
        </w:tc>
        <w:tc>
          <w:tcPr>
            <w:tcW w:w="1280" w:type="dxa"/>
            <w:tcBorders>
              <w:top w:val="nil"/>
              <w:left w:val="nil"/>
              <w:bottom w:val="nil"/>
              <w:right w:val="single" w:sz="4" w:space="0" w:color="auto"/>
            </w:tcBorders>
            <w:shd w:val="clear" w:color="000000" w:fill="EAF3FA"/>
            <w:noWrap/>
            <w:vAlign w:val="bottom"/>
            <w:hideMark/>
          </w:tcPr>
          <w:p w14:paraId="4A43387A"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17.25</w:t>
            </w:r>
          </w:p>
        </w:tc>
        <w:tc>
          <w:tcPr>
            <w:tcW w:w="1280" w:type="dxa"/>
            <w:tcBorders>
              <w:top w:val="nil"/>
              <w:left w:val="nil"/>
              <w:bottom w:val="single" w:sz="4" w:space="0" w:color="B0B0B0"/>
              <w:right w:val="single" w:sz="4" w:space="0" w:color="auto"/>
            </w:tcBorders>
            <w:shd w:val="clear" w:color="000000" w:fill="EAF3FA"/>
            <w:noWrap/>
            <w:vAlign w:val="center"/>
            <w:hideMark/>
          </w:tcPr>
          <w:p w14:paraId="0FDA6B7A"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Grieķija</w:t>
            </w:r>
          </w:p>
        </w:tc>
        <w:tc>
          <w:tcPr>
            <w:tcW w:w="1280" w:type="dxa"/>
            <w:tcBorders>
              <w:top w:val="nil"/>
              <w:left w:val="nil"/>
              <w:bottom w:val="nil"/>
              <w:right w:val="nil"/>
            </w:tcBorders>
            <w:shd w:val="clear" w:color="000000" w:fill="E2EFDA"/>
            <w:noWrap/>
            <w:vAlign w:val="center"/>
            <w:hideMark/>
          </w:tcPr>
          <w:p w14:paraId="4959E1EA"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165 829.8</w:t>
            </w:r>
          </w:p>
        </w:tc>
        <w:tc>
          <w:tcPr>
            <w:tcW w:w="1280" w:type="dxa"/>
            <w:tcBorders>
              <w:top w:val="nil"/>
              <w:left w:val="nil"/>
              <w:bottom w:val="nil"/>
              <w:right w:val="single" w:sz="4" w:space="0" w:color="auto"/>
            </w:tcBorders>
            <w:shd w:val="clear" w:color="000000" w:fill="EAF3FA"/>
            <w:noWrap/>
            <w:vAlign w:val="bottom"/>
            <w:hideMark/>
          </w:tcPr>
          <w:p w14:paraId="183CA97F"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1.24</w:t>
            </w:r>
          </w:p>
        </w:tc>
      </w:tr>
      <w:tr w:rsidR="00CC454E" w:rsidRPr="00CC454E" w14:paraId="16887BA8" w14:textId="77777777" w:rsidTr="00CC454E">
        <w:trPr>
          <w:divId w:val="2036417083"/>
          <w:trHeight w:val="290"/>
        </w:trPr>
        <w:tc>
          <w:tcPr>
            <w:tcW w:w="1280" w:type="dxa"/>
            <w:tcBorders>
              <w:top w:val="nil"/>
              <w:left w:val="single" w:sz="4" w:space="0" w:color="auto"/>
              <w:bottom w:val="single" w:sz="4" w:space="0" w:color="B0B0B0"/>
              <w:right w:val="single" w:sz="4" w:space="0" w:color="auto"/>
            </w:tcBorders>
            <w:shd w:val="clear" w:color="000000" w:fill="EAF3FA"/>
            <w:noWrap/>
            <w:vAlign w:val="center"/>
            <w:hideMark/>
          </w:tcPr>
          <w:p w14:paraId="1753A4DA"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Itālija</w:t>
            </w:r>
          </w:p>
        </w:tc>
        <w:tc>
          <w:tcPr>
            <w:tcW w:w="1280" w:type="dxa"/>
            <w:tcBorders>
              <w:top w:val="nil"/>
              <w:left w:val="nil"/>
              <w:bottom w:val="nil"/>
              <w:right w:val="nil"/>
            </w:tcBorders>
            <w:shd w:val="clear" w:color="000000" w:fill="E2EFDA"/>
            <w:noWrap/>
            <w:vAlign w:val="center"/>
            <w:hideMark/>
          </w:tcPr>
          <w:p w14:paraId="7EE7EF4C"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1 651 594.9</w:t>
            </w:r>
          </w:p>
        </w:tc>
        <w:tc>
          <w:tcPr>
            <w:tcW w:w="1280" w:type="dxa"/>
            <w:tcBorders>
              <w:top w:val="nil"/>
              <w:left w:val="nil"/>
              <w:bottom w:val="nil"/>
              <w:right w:val="single" w:sz="4" w:space="0" w:color="auto"/>
            </w:tcBorders>
            <w:shd w:val="clear" w:color="000000" w:fill="EAF3FA"/>
            <w:noWrap/>
            <w:vAlign w:val="bottom"/>
            <w:hideMark/>
          </w:tcPr>
          <w:p w14:paraId="22D427FA"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12.37</w:t>
            </w:r>
          </w:p>
        </w:tc>
        <w:tc>
          <w:tcPr>
            <w:tcW w:w="1280" w:type="dxa"/>
            <w:tcBorders>
              <w:top w:val="nil"/>
              <w:left w:val="nil"/>
              <w:bottom w:val="single" w:sz="4" w:space="0" w:color="B0B0B0"/>
              <w:right w:val="single" w:sz="4" w:space="0" w:color="auto"/>
            </w:tcBorders>
            <w:shd w:val="clear" w:color="000000" w:fill="EAF3FA"/>
            <w:noWrap/>
            <w:vAlign w:val="center"/>
            <w:hideMark/>
          </w:tcPr>
          <w:p w14:paraId="400E74EB"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Ungārija</w:t>
            </w:r>
          </w:p>
        </w:tc>
        <w:tc>
          <w:tcPr>
            <w:tcW w:w="1280" w:type="dxa"/>
            <w:tcBorders>
              <w:top w:val="nil"/>
              <w:left w:val="nil"/>
              <w:bottom w:val="nil"/>
              <w:right w:val="nil"/>
            </w:tcBorders>
            <w:shd w:val="clear" w:color="000000" w:fill="E2EFDA"/>
            <w:noWrap/>
            <w:vAlign w:val="center"/>
            <w:hideMark/>
          </w:tcPr>
          <w:p w14:paraId="05A81FB6"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135 924.5</w:t>
            </w:r>
          </w:p>
        </w:tc>
        <w:tc>
          <w:tcPr>
            <w:tcW w:w="1280" w:type="dxa"/>
            <w:tcBorders>
              <w:top w:val="nil"/>
              <w:left w:val="nil"/>
              <w:bottom w:val="nil"/>
              <w:right w:val="single" w:sz="4" w:space="0" w:color="auto"/>
            </w:tcBorders>
            <w:shd w:val="clear" w:color="000000" w:fill="EAF3FA"/>
            <w:noWrap/>
            <w:vAlign w:val="bottom"/>
            <w:hideMark/>
          </w:tcPr>
          <w:p w14:paraId="1DD52F68"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1.02</w:t>
            </w:r>
          </w:p>
        </w:tc>
      </w:tr>
      <w:tr w:rsidR="00CC454E" w:rsidRPr="00CC454E" w14:paraId="55402399" w14:textId="77777777" w:rsidTr="00CC454E">
        <w:trPr>
          <w:divId w:val="2036417083"/>
          <w:trHeight w:val="290"/>
        </w:trPr>
        <w:tc>
          <w:tcPr>
            <w:tcW w:w="1280" w:type="dxa"/>
            <w:tcBorders>
              <w:top w:val="nil"/>
              <w:left w:val="single" w:sz="4" w:space="0" w:color="auto"/>
              <w:bottom w:val="single" w:sz="4" w:space="0" w:color="B0B0B0"/>
              <w:right w:val="single" w:sz="4" w:space="0" w:color="auto"/>
            </w:tcBorders>
            <w:shd w:val="clear" w:color="000000" w:fill="EAF3FA"/>
            <w:noWrap/>
            <w:vAlign w:val="center"/>
            <w:hideMark/>
          </w:tcPr>
          <w:p w14:paraId="0CFC8B77"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Spānija</w:t>
            </w:r>
          </w:p>
        </w:tc>
        <w:tc>
          <w:tcPr>
            <w:tcW w:w="1280" w:type="dxa"/>
            <w:tcBorders>
              <w:top w:val="nil"/>
              <w:left w:val="nil"/>
              <w:bottom w:val="nil"/>
              <w:right w:val="nil"/>
            </w:tcBorders>
            <w:shd w:val="clear" w:color="000000" w:fill="E2EFDA"/>
            <w:noWrap/>
            <w:vAlign w:val="center"/>
            <w:hideMark/>
          </w:tcPr>
          <w:p w14:paraId="4F7F06E2"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1 121 698.0</w:t>
            </w:r>
          </w:p>
        </w:tc>
        <w:tc>
          <w:tcPr>
            <w:tcW w:w="1280" w:type="dxa"/>
            <w:tcBorders>
              <w:top w:val="nil"/>
              <w:left w:val="nil"/>
              <w:bottom w:val="nil"/>
              <w:right w:val="single" w:sz="4" w:space="0" w:color="auto"/>
            </w:tcBorders>
            <w:shd w:val="clear" w:color="000000" w:fill="EAF3FA"/>
            <w:noWrap/>
            <w:vAlign w:val="bottom"/>
            <w:hideMark/>
          </w:tcPr>
          <w:p w14:paraId="5737DDD9"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8.40</w:t>
            </w:r>
          </w:p>
        </w:tc>
        <w:tc>
          <w:tcPr>
            <w:tcW w:w="1280" w:type="dxa"/>
            <w:tcBorders>
              <w:top w:val="nil"/>
              <w:left w:val="nil"/>
              <w:bottom w:val="single" w:sz="4" w:space="0" w:color="B0B0B0"/>
              <w:right w:val="single" w:sz="4" w:space="0" w:color="auto"/>
            </w:tcBorders>
            <w:shd w:val="clear" w:color="000000" w:fill="EAF3FA"/>
            <w:noWrap/>
            <w:vAlign w:val="center"/>
            <w:hideMark/>
          </w:tcPr>
          <w:p w14:paraId="1546AE31"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Slovākija</w:t>
            </w:r>
          </w:p>
        </w:tc>
        <w:tc>
          <w:tcPr>
            <w:tcW w:w="1280" w:type="dxa"/>
            <w:tcBorders>
              <w:top w:val="nil"/>
              <w:left w:val="nil"/>
              <w:bottom w:val="nil"/>
              <w:right w:val="nil"/>
            </w:tcBorders>
            <w:shd w:val="clear" w:color="000000" w:fill="EAF3FA"/>
            <w:noWrap/>
            <w:vAlign w:val="center"/>
            <w:hideMark/>
          </w:tcPr>
          <w:p w14:paraId="539557E7"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91 555.3</w:t>
            </w:r>
          </w:p>
        </w:tc>
        <w:tc>
          <w:tcPr>
            <w:tcW w:w="1280" w:type="dxa"/>
            <w:tcBorders>
              <w:top w:val="nil"/>
              <w:left w:val="nil"/>
              <w:bottom w:val="nil"/>
              <w:right w:val="single" w:sz="4" w:space="0" w:color="auto"/>
            </w:tcBorders>
            <w:shd w:val="clear" w:color="000000" w:fill="EAF3FA"/>
            <w:noWrap/>
            <w:vAlign w:val="bottom"/>
            <w:hideMark/>
          </w:tcPr>
          <w:p w14:paraId="235A2B69"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0.69</w:t>
            </w:r>
          </w:p>
        </w:tc>
      </w:tr>
      <w:tr w:rsidR="00CC454E" w:rsidRPr="00CC454E" w14:paraId="7C5993EA" w14:textId="77777777" w:rsidTr="00CC454E">
        <w:trPr>
          <w:divId w:val="2036417083"/>
          <w:trHeight w:val="290"/>
        </w:trPr>
        <w:tc>
          <w:tcPr>
            <w:tcW w:w="1280" w:type="dxa"/>
            <w:tcBorders>
              <w:top w:val="nil"/>
              <w:left w:val="single" w:sz="4" w:space="0" w:color="auto"/>
              <w:bottom w:val="single" w:sz="4" w:space="0" w:color="B0B0B0"/>
              <w:right w:val="single" w:sz="4" w:space="0" w:color="auto"/>
            </w:tcBorders>
            <w:shd w:val="clear" w:color="000000" w:fill="EAF3FA"/>
            <w:noWrap/>
            <w:vAlign w:val="center"/>
            <w:hideMark/>
          </w:tcPr>
          <w:p w14:paraId="18A2973A"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Nīderlande</w:t>
            </w:r>
          </w:p>
        </w:tc>
        <w:tc>
          <w:tcPr>
            <w:tcW w:w="1280" w:type="dxa"/>
            <w:tcBorders>
              <w:top w:val="nil"/>
              <w:left w:val="nil"/>
              <w:bottom w:val="nil"/>
              <w:right w:val="nil"/>
            </w:tcBorders>
            <w:shd w:val="clear" w:color="000000" w:fill="E2EFDA"/>
            <w:noWrap/>
            <w:vAlign w:val="center"/>
            <w:hideMark/>
          </w:tcPr>
          <w:p w14:paraId="30903C1A"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800 095.0</w:t>
            </w:r>
          </w:p>
        </w:tc>
        <w:tc>
          <w:tcPr>
            <w:tcW w:w="1280" w:type="dxa"/>
            <w:tcBorders>
              <w:top w:val="nil"/>
              <w:left w:val="nil"/>
              <w:bottom w:val="nil"/>
              <w:right w:val="single" w:sz="4" w:space="0" w:color="auto"/>
            </w:tcBorders>
            <w:shd w:val="clear" w:color="000000" w:fill="EAF3FA"/>
            <w:noWrap/>
            <w:vAlign w:val="bottom"/>
            <w:hideMark/>
          </w:tcPr>
          <w:p w14:paraId="285E757B"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5.99</w:t>
            </w:r>
          </w:p>
        </w:tc>
        <w:tc>
          <w:tcPr>
            <w:tcW w:w="1280" w:type="dxa"/>
            <w:tcBorders>
              <w:top w:val="nil"/>
              <w:left w:val="nil"/>
              <w:bottom w:val="single" w:sz="4" w:space="0" w:color="B0B0B0"/>
              <w:right w:val="single" w:sz="4" w:space="0" w:color="auto"/>
            </w:tcBorders>
            <w:shd w:val="clear" w:color="000000" w:fill="EAF3FA"/>
            <w:noWrap/>
            <w:vAlign w:val="center"/>
            <w:hideMark/>
          </w:tcPr>
          <w:p w14:paraId="4ACDC6D3"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Luksemburga</w:t>
            </w:r>
          </w:p>
        </w:tc>
        <w:tc>
          <w:tcPr>
            <w:tcW w:w="1280" w:type="dxa"/>
            <w:tcBorders>
              <w:top w:val="nil"/>
              <w:left w:val="nil"/>
              <w:bottom w:val="nil"/>
              <w:right w:val="nil"/>
            </w:tcBorders>
            <w:shd w:val="clear" w:color="000000" w:fill="EAF3FA"/>
            <w:noWrap/>
            <w:vAlign w:val="center"/>
            <w:hideMark/>
          </w:tcPr>
          <w:p w14:paraId="53517002"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64 143.1</w:t>
            </w:r>
          </w:p>
        </w:tc>
        <w:tc>
          <w:tcPr>
            <w:tcW w:w="1280" w:type="dxa"/>
            <w:tcBorders>
              <w:top w:val="nil"/>
              <w:left w:val="nil"/>
              <w:bottom w:val="nil"/>
              <w:right w:val="single" w:sz="4" w:space="0" w:color="auto"/>
            </w:tcBorders>
            <w:shd w:val="clear" w:color="000000" w:fill="EAF3FA"/>
            <w:noWrap/>
            <w:vAlign w:val="bottom"/>
            <w:hideMark/>
          </w:tcPr>
          <w:p w14:paraId="7642D105"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0.48</w:t>
            </w:r>
          </w:p>
        </w:tc>
      </w:tr>
      <w:tr w:rsidR="00CC454E" w:rsidRPr="00CC454E" w14:paraId="1812E38F" w14:textId="77777777" w:rsidTr="00CC454E">
        <w:trPr>
          <w:divId w:val="2036417083"/>
          <w:trHeight w:val="290"/>
        </w:trPr>
        <w:tc>
          <w:tcPr>
            <w:tcW w:w="1280" w:type="dxa"/>
            <w:tcBorders>
              <w:top w:val="nil"/>
              <w:left w:val="single" w:sz="4" w:space="0" w:color="auto"/>
              <w:bottom w:val="single" w:sz="4" w:space="0" w:color="B0B0B0"/>
              <w:right w:val="single" w:sz="4" w:space="0" w:color="auto"/>
            </w:tcBorders>
            <w:shd w:val="clear" w:color="000000" w:fill="EAF3FA"/>
            <w:noWrap/>
            <w:vAlign w:val="center"/>
            <w:hideMark/>
          </w:tcPr>
          <w:p w14:paraId="138C75D1"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Polija</w:t>
            </w:r>
          </w:p>
        </w:tc>
        <w:tc>
          <w:tcPr>
            <w:tcW w:w="1280" w:type="dxa"/>
            <w:tcBorders>
              <w:top w:val="nil"/>
              <w:left w:val="nil"/>
              <w:bottom w:val="nil"/>
              <w:right w:val="nil"/>
            </w:tcBorders>
            <w:shd w:val="clear" w:color="000000" w:fill="E2EFDA"/>
            <w:noWrap/>
            <w:vAlign w:val="center"/>
            <w:hideMark/>
          </w:tcPr>
          <w:p w14:paraId="0E908581"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523 038.3</w:t>
            </w:r>
          </w:p>
        </w:tc>
        <w:tc>
          <w:tcPr>
            <w:tcW w:w="1280" w:type="dxa"/>
            <w:tcBorders>
              <w:top w:val="nil"/>
              <w:left w:val="nil"/>
              <w:bottom w:val="nil"/>
              <w:right w:val="single" w:sz="4" w:space="0" w:color="auto"/>
            </w:tcBorders>
            <w:shd w:val="clear" w:color="000000" w:fill="EAF3FA"/>
            <w:noWrap/>
            <w:vAlign w:val="bottom"/>
            <w:hideMark/>
          </w:tcPr>
          <w:p w14:paraId="595E70A4"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3.92</w:t>
            </w:r>
          </w:p>
        </w:tc>
        <w:tc>
          <w:tcPr>
            <w:tcW w:w="1280" w:type="dxa"/>
            <w:tcBorders>
              <w:top w:val="nil"/>
              <w:left w:val="nil"/>
              <w:bottom w:val="single" w:sz="4" w:space="0" w:color="B0B0B0"/>
              <w:right w:val="single" w:sz="4" w:space="0" w:color="auto"/>
            </w:tcBorders>
            <w:shd w:val="clear" w:color="000000" w:fill="EAF3FA"/>
            <w:noWrap/>
            <w:vAlign w:val="center"/>
            <w:hideMark/>
          </w:tcPr>
          <w:p w14:paraId="1714280F"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Bulgārija</w:t>
            </w:r>
          </w:p>
        </w:tc>
        <w:tc>
          <w:tcPr>
            <w:tcW w:w="1280" w:type="dxa"/>
            <w:tcBorders>
              <w:top w:val="nil"/>
              <w:left w:val="nil"/>
              <w:bottom w:val="nil"/>
              <w:right w:val="nil"/>
            </w:tcBorders>
            <w:shd w:val="clear" w:color="000000" w:fill="EAF3FA"/>
            <w:noWrap/>
            <w:vAlign w:val="center"/>
            <w:hideMark/>
          </w:tcPr>
          <w:p w14:paraId="7B51912D"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60 642.7</w:t>
            </w:r>
          </w:p>
        </w:tc>
        <w:tc>
          <w:tcPr>
            <w:tcW w:w="1280" w:type="dxa"/>
            <w:tcBorders>
              <w:top w:val="nil"/>
              <w:left w:val="nil"/>
              <w:bottom w:val="nil"/>
              <w:right w:val="single" w:sz="4" w:space="0" w:color="auto"/>
            </w:tcBorders>
            <w:shd w:val="clear" w:color="000000" w:fill="EAF3FA"/>
            <w:noWrap/>
            <w:vAlign w:val="bottom"/>
            <w:hideMark/>
          </w:tcPr>
          <w:p w14:paraId="033B615D"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0.45</w:t>
            </w:r>
          </w:p>
        </w:tc>
      </w:tr>
      <w:tr w:rsidR="00CC454E" w:rsidRPr="00CC454E" w14:paraId="3C8534CC" w14:textId="77777777" w:rsidTr="00CC454E">
        <w:trPr>
          <w:divId w:val="2036417083"/>
          <w:trHeight w:val="290"/>
        </w:trPr>
        <w:tc>
          <w:tcPr>
            <w:tcW w:w="1280" w:type="dxa"/>
            <w:tcBorders>
              <w:top w:val="nil"/>
              <w:left w:val="single" w:sz="4" w:space="0" w:color="auto"/>
              <w:bottom w:val="single" w:sz="4" w:space="0" w:color="B0B0B0"/>
              <w:right w:val="single" w:sz="4" w:space="0" w:color="auto"/>
            </w:tcBorders>
            <w:shd w:val="clear" w:color="000000" w:fill="EAF3FA"/>
            <w:noWrap/>
            <w:vAlign w:val="center"/>
            <w:hideMark/>
          </w:tcPr>
          <w:p w14:paraId="27B0B653"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Zviedrija</w:t>
            </w:r>
          </w:p>
        </w:tc>
        <w:tc>
          <w:tcPr>
            <w:tcW w:w="1280" w:type="dxa"/>
            <w:tcBorders>
              <w:top w:val="nil"/>
              <w:left w:val="nil"/>
              <w:bottom w:val="nil"/>
              <w:right w:val="nil"/>
            </w:tcBorders>
            <w:shd w:val="clear" w:color="000000" w:fill="EAF3FA"/>
            <w:noWrap/>
            <w:vAlign w:val="center"/>
            <w:hideMark/>
          </w:tcPr>
          <w:p w14:paraId="414F62AC"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474 724.4</w:t>
            </w:r>
          </w:p>
        </w:tc>
        <w:tc>
          <w:tcPr>
            <w:tcW w:w="1280" w:type="dxa"/>
            <w:tcBorders>
              <w:top w:val="nil"/>
              <w:left w:val="nil"/>
              <w:bottom w:val="nil"/>
              <w:right w:val="single" w:sz="4" w:space="0" w:color="auto"/>
            </w:tcBorders>
            <w:shd w:val="clear" w:color="000000" w:fill="EAF3FA"/>
            <w:noWrap/>
            <w:vAlign w:val="bottom"/>
            <w:hideMark/>
          </w:tcPr>
          <w:p w14:paraId="1D893621"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3.56</w:t>
            </w:r>
          </w:p>
        </w:tc>
        <w:tc>
          <w:tcPr>
            <w:tcW w:w="1280" w:type="dxa"/>
            <w:tcBorders>
              <w:top w:val="nil"/>
              <w:left w:val="nil"/>
              <w:bottom w:val="single" w:sz="4" w:space="0" w:color="B0B0B0"/>
              <w:right w:val="single" w:sz="4" w:space="0" w:color="auto"/>
            </w:tcBorders>
            <w:shd w:val="clear" w:color="000000" w:fill="EAF3FA"/>
            <w:noWrap/>
            <w:vAlign w:val="center"/>
            <w:hideMark/>
          </w:tcPr>
          <w:p w14:paraId="33EE5B11"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Horvātija</w:t>
            </w:r>
          </w:p>
        </w:tc>
        <w:tc>
          <w:tcPr>
            <w:tcW w:w="1280" w:type="dxa"/>
            <w:tcBorders>
              <w:top w:val="nil"/>
              <w:left w:val="nil"/>
              <w:bottom w:val="nil"/>
              <w:right w:val="nil"/>
            </w:tcBorders>
            <w:shd w:val="clear" w:color="000000" w:fill="E2EFDA"/>
            <w:noWrap/>
            <w:vAlign w:val="center"/>
            <w:hideMark/>
          </w:tcPr>
          <w:p w14:paraId="5A28752A"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49 283.3</w:t>
            </w:r>
          </w:p>
        </w:tc>
        <w:tc>
          <w:tcPr>
            <w:tcW w:w="1280" w:type="dxa"/>
            <w:tcBorders>
              <w:top w:val="nil"/>
              <w:left w:val="nil"/>
              <w:bottom w:val="nil"/>
              <w:right w:val="single" w:sz="4" w:space="0" w:color="auto"/>
            </w:tcBorders>
            <w:shd w:val="clear" w:color="000000" w:fill="EAF3FA"/>
            <w:noWrap/>
            <w:vAlign w:val="bottom"/>
            <w:hideMark/>
          </w:tcPr>
          <w:p w14:paraId="5D23ABDD"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0.37</w:t>
            </w:r>
          </w:p>
        </w:tc>
      </w:tr>
      <w:tr w:rsidR="00CC454E" w:rsidRPr="00CC454E" w14:paraId="2F3D70A8" w14:textId="77777777" w:rsidTr="00CC454E">
        <w:trPr>
          <w:divId w:val="2036417083"/>
          <w:trHeight w:val="290"/>
        </w:trPr>
        <w:tc>
          <w:tcPr>
            <w:tcW w:w="1280" w:type="dxa"/>
            <w:tcBorders>
              <w:top w:val="nil"/>
              <w:left w:val="single" w:sz="4" w:space="0" w:color="auto"/>
              <w:bottom w:val="single" w:sz="4" w:space="0" w:color="B0B0B0"/>
              <w:right w:val="single" w:sz="4" w:space="0" w:color="auto"/>
            </w:tcBorders>
            <w:shd w:val="clear" w:color="000000" w:fill="EAF3FA"/>
            <w:noWrap/>
            <w:vAlign w:val="center"/>
            <w:hideMark/>
          </w:tcPr>
          <w:p w14:paraId="5D474515"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Beļģija</w:t>
            </w:r>
          </w:p>
        </w:tc>
        <w:tc>
          <w:tcPr>
            <w:tcW w:w="1280" w:type="dxa"/>
            <w:tcBorders>
              <w:top w:val="nil"/>
              <w:left w:val="nil"/>
              <w:bottom w:val="nil"/>
              <w:right w:val="nil"/>
            </w:tcBorders>
            <w:shd w:val="clear" w:color="000000" w:fill="E2EFDA"/>
            <w:noWrap/>
            <w:vAlign w:val="center"/>
            <w:hideMark/>
          </w:tcPr>
          <w:p w14:paraId="123221B4"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451 176.9</w:t>
            </w:r>
          </w:p>
        </w:tc>
        <w:tc>
          <w:tcPr>
            <w:tcW w:w="1280" w:type="dxa"/>
            <w:tcBorders>
              <w:top w:val="nil"/>
              <w:left w:val="nil"/>
              <w:bottom w:val="nil"/>
              <w:right w:val="single" w:sz="4" w:space="0" w:color="auto"/>
            </w:tcBorders>
            <w:shd w:val="clear" w:color="000000" w:fill="EAF3FA"/>
            <w:noWrap/>
            <w:vAlign w:val="bottom"/>
            <w:hideMark/>
          </w:tcPr>
          <w:p w14:paraId="2843BF86"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3.38</w:t>
            </w:r>
          </w:p>
        </w:tc>
        <w:tc>
          <w:tcPr>
            <w:tcW w:w="1280" w:type="dxa"/>
            <w:tcBorders>
              <w:top w:val="nil"/>
              <w:left w:val="nil"/>
              <w:bottom w:val="single" w:sz="4" w:space="0" w:color="B0B0B0"/>
              <w:right w:val="single" w:sz="4" w:space="0" w:color="auto"/>
            </w:tcBorders>
            <w:shd w:val="clear" w:color="000000" w:fill="EAF3FA"/>
            <w:noWrap/>
            <w:vAlign w:val="center"/>
            <w:hideMark/>
          </w:tcPr>
          <w:p w14:paraId="4A1735F2"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Lietuva</w:t>
            </w:r>
          </w:p>
        </w:tc>
        <w:tc>
          <w:tcPr>
            <w:tcW w:w="1280" w:type="dxa"/>
            <w:tcBorders>
              <w:top w:val="nil"/>
              <w:left w:val="nil"/>
              <w:bottom w:val="nil"/>
              <w:right w:val="nil"/>
            </w:tcBorders>
            <w:shd w:val="clear" w:color="000000" w:fill="EAF3FA"/>
            <w:noWrap/>
            <w:vAlign w:val="center"/>
            <w:hideMark/>
          </w:tcPr>
          <w:p w14:paraId="777D5C94"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48 929.7</w:t>
            </w:r>
          </w:p>
        </w:tc>
        <w:tc>
          <w:tcPr>
            <w:tcW w:w="1280" w:type="dxa"/>
            <w:tcBorders>
              <w:top w:val="nil"/>
              <w:left w:val="nil"/>
              <w:bottom w:val="nil"/>
              <w:right w:val="single" w:sz="4" w:space="0" w:color="auto"/>
            </w:tcBorders>
            <w:shd w:val="clear" w:color="000000" w:fill="EAF3FA"/>
            <w:noWrap/>
            <w:vAlign w:val="bottom"/>
            <w:hideMark/>
          </w:tcPr>
          <w:p w14:paraId="1F55878A"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0.37</w:t>
            </w:r>
          </w:p>
        </w:tc>
      </w:tr>
      <w:tr w:rsidR="00CC454E" w:rsidRPr="00CC454E" w14:paraId="4DCCB40D" w14:textId="77777777" w:rsidTr="00CC454E">
        <w:trPr>
          <w:divId w:val="2036417083"/>
          <w:trHeight w:val="290"/>
        </w:trPr>
        <w:tc>
          <w:tcPr>
            <w:tcW w:w="1280" w:type="dxa"/>
            <w:tcBorders>
              <w:top w:val="nil"/>
              <w:left w:val="single" w:sz="4" w:space="0" w:color="auto"/>
              <w:bottom w:val="single" w:sz="4" w:space="0" w:color="B0B0B0"/>
              <w:right w:val="single" w:sz="4" w:space="0" w:color="auto"/>
            </w:tcBorders>
            <w:shd w:val="clear" w:color="000000" w:fill="EAF3FA"/>
            <w:noWrap/>
            <w:vAlign w:val="center"/>
            <w:hideMark/>
          </w:tcPr>
          <w:p w14:paraId="6317A75C"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Austrija</w:t>
            </w:r>
          </w:p>
        </w:tc>
        <w:tc>
          <w:tcPr>
            <w:tcW w:w="1280" w:type="dxa"/>
            <w:tcBorders>
              <w:top w:val="nil"/>
              <w:left w:val="nil"/>
              <w:bottom w:val="nil"/>
              <w:right w:val="nil"/>
            </w:tcBorders>
            <w:shd w:val="clear" w:color="000000" w:fill="EAF3FA"/>
            <w:noWrap/>
            <w:vAlign w:val="center"/>
            <w:hideMark/>
          </w:tcPr>
          <w:p w14:paraId="1D7C5575"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377 297.2</w:t>
            </w:r>
          </w:p>
        </w:tc>
        <w:tc>
          <w:tcPr>
            <w:tcW w:w="1280" w:type="dxa"/>
            <w:tcBorders>
              <w:top w:val="nil"/>
              <w:left w:val="nil"/>
              <w:bottom w:val="nil"/>
              <w:right w:val="single" w:sz="4" w:space="0" w:color="auto"/>
            </w:tcBorders>
            <w:shd w:val="clear" w:color="000000" w:fill="EAF3FA"/>
            <w:noWrap/>
            <w:vAlign w:val="bottom"/>
            <w:hideMark/>
          </w:tcPr>
          <w:p w14:paraId="45E72599"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2.83</w:t>
            </w:r>
          </w:p>
        </w:tc>
        <w:tc>
          <w:tcPr>
            <w:tcW w:w="1280" w:type="dxa"/>
            <w:tcBorders>
              <w:top w:val="nil"/>
              <w:left w:val="nil"/>
              <w:bottom w:val="single" w:sz="4" w:space="0" w:color="B0B0B0"/>
              <w:right w:val="single" w:sz="4" w:space="0" w:color="auto"/>
            </w:tcBorders>
            <w:shd w:val="clear" w:color="000000" w:fill="EAF3FA"/>
            <w:noWrap/>
            <w:vAlign w:val="center"/>
            <w:hideMark/>
          </w:tcPr>
          <w:p w14:paraId="4F9A2BFB"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Slovēnija</w:t>
            </w:r>
          </w:p>
        </w:tc>
        <w:tc>
          <w:tcPr>
            <w:tcW w:w="1280" w:type="dxa"/>
            <w:tcBorders>
              <w:top w:val="nil"/>
              <w:left w:val="nil"/>
              <w:bottom w:val="nil"/>
              <w:right w:val="nil"/>
            </w:tcBorders>
            <w:shd w:val="clear" w:color="000000" w:fill="EAF3FA"/>
            <w:noWrap/>
            <w:vAlign w:val="center"/>
            <w:hideMark/>
          </w:tcPr>
          <w:p w14:paraId="68962E5F"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46 297.2</w:t>
            </w:r>
          </w:p>
        </w:tc>
        <w:tc>
          <w:tcPr>
            <w:tcW w:w="1280" w:type="dxa"/>
            <w:tcBorders>
              <w:top w:val="nil"/>
              <w:left w:val="nil"/>
              <w:bottom w:val="nil"/>
              <w:right w:val="single" w:sz="4" w:space="0" w:color="auto"/>
            </w:tcBorders>
            <w:shd w:val="clear" w:color="000000" w:fill="EAF3FA"/>
            <w:noWrap/>
            <w:vAlign w:val="bottom"/>
            <w:hideMark/>
          </w:tcPr>
          <w:p w14:paraId="647DEBD2"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0.35</w:t>
            </w:r>
          </w:p>
        </w:tc>
      </w:tr>
      <w:tr w:rsidR="00CC454E" w:rsidRPr="00CC454E" w14:paraId="2F473C1E" w14:textId="77777777" w:rsidTr="00CC454E">
        <w:trPr>
          <w:divId w:val="2036417083"/>
          <w:trHeight w:val="290"/>
        </w:trPr>
        <w:tc>
          <w:tcPr>
            <w:tcW w:w="1280" w:type="dxa"/>
            <w:tcBorders>
              <w:top w:val="nil"/>
              <w:left w:val="single" w:sz="4" w:space="0" w:color="auto"/>
              <w:bottom w:val="single" w:sz="4" w:space="0" w:color="B0B0B0"/>
              <w:right w:val="single" w:sz="4" w:space="0" w:color="auto"/>
            </w:tcBorders>
            <w:shd w:val="clear" w:color="000000" w:fill="EAF3FA"/>
            <w:noWrap/>
            <w:vAlign w:val="center"/>
            <w:hideMark/>
          </w:tcPr>
          <w:p w14:paraId="41242B9E"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Īrija</w:t>
            </w:r>
          </w:p>
        </w:tc>
        <w:tc>
          <w:tcPr>
            <w:tcW w:w="1280" w:type="dxa"/>
            <w:tcBorders>
              <w:top w:val="nil"/>
              <w:left w:val="nil"/>
              <w:bottom w:val="nil"/>
              <w:right w:val="nil"/>
            </w:tcBorders>
            <w:shd w:val="clear" w:color="000000" w:fill="EAF3FA"/>
            <w:noWrap/>
            <w:vAlign w:val="center"/>
            <w:hideMark/>
          </w:tcPr>
          <w:p w14:paraId="23AA1E86"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372 868.5</w:t>
            </w:r>
          </w:p>
        </w:tc>
        <w:tc>
          <w:tcPr>
            <w:tcW w:w="1280" w:type="dxa"/>
            <w:tcBorders>
              <w:top w:val="nil"/>
              <w:left w:val="nil"/>
              <w:bottom w:val="nil"/>
              <w:right w:val="single" w:sz="4" w:space="0" w:color="auto"/>
            </w:tcBorders>
            <w:shd w:val="clear" w:color="000000" w:fill="EAF3FA"/>
            <w:noWrap/>
            <w:vAlign w:val="bottom"/>
            <w:hideMark/>
          </w:tcPr>
          <w:p w14:paraId="5061B127"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2.79</w:t>
            </w:r>
          </w:p>
        </w:tc>
        <w:tc>
          <w:tcPr>
            <w:tcW w:w="1280" w:type="dxa"/>
            <w:tcBorders>
              <w:top w:val="nil"/>
              <w:left w:val="nil"/>
              <w:bottom w:val="single" w:sz="4" w:space="0" w:color="B0B0B0"/>
              <w:right w:val="single" w:sz="4" w:space="0" w:color="auto"/>
            </w:tcBorders>
            <w:shd w:val="clear" w:color="000000" w:fill="EAF3FA"/>
            <w:noWrap/>
            <w:vAlign w:val="center"/>
            <w:hideMark/>
          </w:tcPr>
          <w:p w14:paraId="4ED60108"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Latvija</w:t>
            </w:r>
          </w:p>
        </w:tc>
        <w:tc>
          <w:tcPr>
            <w:tcW w:w="1280" w:type="dxa"/>
            <w:tcBorders>
              <w:top w:val="nil"/>
              <w:left w:val="nil"/>
              <w:bottom w:val="nil"/>
              <w:right w:val="nil"/>
            </w:tcBorders>
            <w:shd w:val="clear" w:color="000000" w:fill="EAF3FA"/>
            <w:noWrap/>
            <w:vAlign w:val="center"/>
            <w:hideMark/>
          </w:tcPr>
          <w:p w14:paraId="02F25DE9"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29 334.0</w:t>
            </w:r>
          </w:p>
        </w:tc>
        <w:tc>
          <w:tcPr>
            <w:tcW w:w="1280" w:type="dxa"/>
            <w:tcBorders>
              <w:top w:val="nil"/>
              <w:left w:val="nil"/>
              <w:bottom w:val="nil"/>
              <w:right w:val="single" w:sz="4" w:space="0" w:color="auto"/>
            </w:tcBorders>
            <w:shd w:val="clear" w:color="000000" w:fill="EAF3FA"/>
            <w:noWrap/>
            <w:vAlign w:val="bottom"/>
            <w:hideMark/>
          </w:tcPr>
          <w:p w14:paraId="27096A7E"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0.22</w:t>
            </w:r>
          </w:p>
        </w:tc>
      </w:tr>
      <w:tr w:rsidR="00CC454E" w:rsidRPr="00CC454E" w14:paraId="6A40EB84" w14:textId="77777777" w:rsidTr="00CC454E">
        <w:trPr>
          <w:divId w:val="2036417083"/>
          <w:trHeight w:val="290"/>
        </w:trPr>
        <w:tc>
          <w:tcPr>
            <w:tcW w:w="1280" w:type="dxa"/>
            <w:tcBorders>
              <w:top w:val="nil"/>
              <w:left w:val="single" w:sz="4" w:space="0" w:color="auto"/>
              <w:bottom w:val="single" w:sz="4" w:space="0" w:color="B0B0B0"/>
              <w:right w:val="single" w:sz="4" w:space="0" w:color="auto"/>
            </w:tcBorders>
            <w:shd w:val="clear" w:color="000000" w:fill="EAF3FA"/>
            <w:noWrap/>
            <w:vAlign w:val="center"/>
            <w:hideMark/>
          </w:tcPr>
          <w:p w14:paraId="5ADA1B4C"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Dānija</w:t>
            </w:r>
          </w:p>
        </w:tc>
        <w:tc>
          <w:tcPr>
            <w:tcW w:w="1280" w:type="dxa"/>
            <w:tcBorders>
              <w:top w:val="nil"/>
              <w:left w:val="nil"/>
              <w:bottom w:val="nil"/>
              <w:right w:val="nil"/>
            </w:tcBorders>
            <w:shd w:val="clear" w:color="000000" w:fill="EAF3FA"/>
            <w:noWrap/>
            <w:vAlign w:val="center"/>
            <w:hideMark/>
          </w:tcPr>
          <w:p w14:paraId="7C5608A0"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312 516.6</w:t>
            </w:r>
          </w:p>
        </w:tc>
        <w:tc>
          <w:tcPr>
            <w:tcW w:w="1280" w:type="dxa"/>
            <w:tcBorders>
              <w:top w:val="nil"/>
              <w:left w:val="nil"/>
              <w:bottom w:val="nil"/>
              <w:right w:val="single" w:sz="4" w:space="0" w:color="auto"/>
            </w:tcBorders>
            <w:shd w:val="clear" w:color="000000" w:fill="EAF3FA"/>
            <w:noWrap/>
            <w:vAlign w:val="bottom"/>
            <w:hideMark/>
          </w:tcPr>
          <w:p w14:paraId="0B95D00C"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2.34</w:t>
            </w:r>
          </w:p>
        </w:tc>
        <w:tc>
          <w:tcPr>
            <w:tcW w:w="1280" w:type="dxa"/>
            <w:tcBorders>
              <w:top w:val="nil"/>
              <w:left w:val="nil"/>
              <w:bottom w:val="single" w:sz="4" w:space="0" w:color="B0B0B0"/>
              <w:right w:val="single" w:sz="4" w:space="0" w:color="auto"/>
            </w:tcBorders>
            <w:shd w:val="clear" w:color="000000" w:fill="EAF3FA"/>
            <w:noWrap/>
            <w:vAlign w:val="center"/>
            <w:hideMark/>
          </w:tcPr>
          <w:p w14:paraId="0D5B21D2"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Igaunija</w:t>
            </w:r>
          </w:p>
        </w:tc>
        <w:tc>
          <w:tcPr>
            <w:tcW w:w="1280" w:type="dxa"/>
            <w:tcBorders>
              <w:top w:val="nil"/>
              <w:left w:val="nil"/>
              <w:bottom w:val="nil"/>
              <w:right w:val="nil"/>
            </w:tcBorders>
            <w:shd w:val="clear" w:color="000000" w:fill="EAF3FA"/>
            <w:noWrap/>
            <w:vAlign w:val="center"/>
            <w:hideMark/>
          </w:tcPr>
          <w:p w14:paraId="7C2D375F"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27 166.9</w:t>
            </w:r>
          </w:p>
        </w:tc>
        <w:tc>
          <w:tcPr>
            <w:tcW w:w="1280" w:type="dxa"/>
            <w:tcBorders>
              <w:top w:val="nil"/>
              <w:left w:val="nil"/>
              <w:bottom w:val="nil"/>
              <w:right w:val="single" w:sz="4" w:space="0" w:color="auto"/>
            </w:tcBorders>
            <w:shd w:val="clear" w:color="000000" w:fill="EAF3FA"/>
            <w:noWrap/>
            <w:vAlign w:val="bottom"/>
            <w:hideMark/>
          </w:tcPr>
          <w:p w14:paraId="6DB23FA7"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0.20</w:t>
            </w:r>
          </w:p>
        </w:tc>
      </w:tr>
      <w:tr w:rsidR="00CC454E" w:rsidRPr="00CC454E" w14:paraId="6CCDC698" w14:textId="77777777" w:rsidTr="00CC454E">
        <w:trPr>
          <w:divId w:val="2036417083"/>
          <w:trHeight w:val="290"/>
        </w:trPr>
        <w:tc>
          <w:tcPr>
            <w:tcW w:w="1280" w:type="dxa"/>
            <w:tcBorders>
              <w:top w:val="nil"/>
              <w:left w:val="single" w:sz="4" w:space="0" w:color="auto"/>
              <w:bottom w:val="single" w:sz="4" w:space="0" w:color="B0B0B0"/>
              <w:right w:val="single" w:sz="4" w:space="0" w:color="auto"/>
            </w:tcBorders>
            <w:shd w:val="clear" w:color="000000" w:fill="EAF3FA"/>
            <w:noWrap/>
            <w:vAlign w:val="center"/>
            <w:hideMark/>
          </w:tcPr>
          <w:p w14:paraId="57981EEA"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Somija</w:t>
            </w:r>
          </w:p>
        </w:tc>
        <w:tc>
          <w:tcPr>
            <w:tcW w:w="1280" w:type="dxa"/>
            <w:tcBorders>
              <w:top w:val="nil"/>
              <w:left w:val="nil"/>
              <w:bottom w:val="nil"/>
              <w:right w:val="nil"/>
            </w:tcBorders>
            <w:shd w:val="clear" w:color="000000" w:fill="EAF3FA"/>
            <w:noWrap/>
            <w:vAlign w:val="center"/>
            <w:hideMark/>
          </w:tcPr>
          <w:p w14:paraId="01E6C96F"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236 188.0</w:t>
            </w:r>
          </w:p>
        </w:tc>
        <w:tc>
          <w:tcPr>
            <w:tcW w:w="1280" w:type="dxa"/>
            <w:tcBorders>
              <w:top w:val="nil"/>
              <w:left w:val="nil"/>
              <w:bottom w:val="nil"/>
              <w:right w:val="single" w:sz="4" w:space="0" w:color="auto"/>
            </w:tcBorders>
            <w:shd w:val="clear" w:color="000000" w:fill="EAF3FA"/>
            <w:noWrap/>
            <w:vAlign w:val="bottom"/>
            <w:hideMark/>
          </w:tcPr>
          <w:p w14:paraId="0DCA534F"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1.77</w:t>
            </w:r>
          </w:p>
        </w:tc>
        <w:tc>
          <w:tcPr>
            <w:tcW w:w="1280" w:type="dxa"/>
            <w:tcBorders>
              <w:top w:val="nil"/>
              <w:left w:val="nil"/>
              <w:bottom w:val="single" w:sz="4" w:space="0" w:color="B0B0B0"/>
              <w:right w:val="single" w:sz="4" w:space="0" w:color="auto"/>
            </w:tcBorders>
            <w:shd w:val="clear" w:color="000000" w:fill="EAF3FA"/>
            <w:noWrap/>
            <w:vAlign w:val="center"/>
            <w:hideMark/>
          </w:tcPr>
          <w:p w14:paraId="25EAC915"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Kipra</w:t>
            </w:r>
          </w:p>
        </w:tc>
        <w:tc>
          <w:tcPr>
            <w:tcW w:w="1280" w:type="dxa"/>
            <w:tcBorders>
              <w:top w:val="nil"/>
              <w:left w:val="nil"/>
              <w:bottom w:val="nil"/>
              <w:right w:val="nil"/>
            </w:tcBorders>
            <w:shd w:val="clear" w:color="000000" w:fill="E2EFDA"/>
            <w:noWrap/>
            <w:vAlign w:val="center"/>
            <w:hideMark/>
          </w:tcPr>
          <w:p w14:paraId="3B30EAC5"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20 840.7</w:t>
            </w:r>
          </w:p>
        </w:tc>
        <w:tc>
          <w:tcPr>
            <w:tcW w:w="1280" w:type="dxa"/>
            <w:tcBorders>
              <w:top w:val="nil"/>
              <w:left w:val="nil"/>
              <w:bottom w:val="nil"/>
              <w:right w:val="single" w:sz="4" w:space="0" w:color="auto"/>
            </w:tcBorders>
            <w:shd w:val="clear" w:color="000000" w:fill="EAF3FA"/>
            <w:noWrap/>
            <w:vAlign w:val="bottom"/>
            <w:hideMark/>
          </w:tcPr>
          <w:p w14:paraId="5EAB4D9F"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0.16</w:t>
            </w:r>
          </w:p>
        </w:tc>
      </w:tr>
      <w:tr w:rsidR="00CC454E" w:rsidRPr="00CC454E" w14:paraId="2FC40F1D" w14:textId="77777777" w:rsidTr="00CC454E">
        <w:trPr>
          <w:divId w:val="2036417083"/>
          <w:trHeight w:val="290"/>
        </w:trPr>
        <w:tc>
          <w:tcPr>
            <w:tcW w:w="1280" w:type="dxa"/>
            <w:tcBorders>
              <w:top w:val="nil"/>
              <w:left w:val="single" w:sz="4" w:space="0" w:color="auto"/>
              <w:bottom w:val="single" w:sz="4" w:space="0" w:color="auto"/>
              <w:right w:val="single" w:sz="4" w:space="0" w:color="auto"/>
            </w:tcBorders>
            <w:shd w:val="clear" w:color="000000" w:fill="EAF3FA"/>
            <w:noWrap/>
            <w:vAlign w:val="center"/>
            <w:hideMark/>
          </w:tcPr>
          <w:p w14:paraId="2D489C65"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Rumānija</w:t>
            </w:r>
          </w:p>
        </w:tc>
        <w:tc>
          <w:tcPr>
            <w:tcW w:w="1280" w:type="dxa"/>
            <w:tcBorders>
              <w:top w:val="nil"/>
              <w:left w:val="nil"/>
              <w:bottom w:val="single" w:sz="4" w:space="0" w:color="auto"/>
              <w:right w:val="nil"/>
            </w:tcBorders>
            <w:shd w:val="clear" w:color="000000" w:fill="E2EFDA"/>
            <w:noWrap/>
            <w:vAlign w:val="center"/>
            <w:hideMark/>
          </w:tcPr>
          <w:p w14:paraId="55A4AD2D"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218 165.2</w:t>
            </w:r>
          </w:p>
        </w:tc>
        <w:tc>
          <w:tcPr>
            <w:tcW w:w="1280" w:type="dxa"/>
            <w:tcBorders>
              <w:top w:val="nil"/>
              <w:left w:val="nil"/>
              <w:bottom w:val="single" w:sz="4" w:space="0" w:color="auto"/>
              <w:right w:val="single" w:sz="4" w:space="0" w:color="auto"/>
            </w:tcBorders>
            <w:shd w:val="clear" w:color="000000" w:fill="EAF3FA"/>
            <w:noWrap/>
            <w:vAlign w:val="bottom"/>
            <w:hideMark/>
          </w:tcPr>
          <w:p w14:paraId="29947310"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1.63</w:t>
            </w:r>
          </w:p>
        </w:tc>
        <w:tc>
          <w:tcPr>
            <w:tcW w:w="1280" w:type="dxa"/>
            <w:tcBorders>
              <w:top w:val="nil"/>
              <w:left w:val="nil"/>
              <w:bottom w:val="single" w:sz="4" w:space="0" w:color="auto"/>
              <w:right w:val="single" w:sz="4" w:space="0" w:color="auto"/>
            </w:tcBorders>
            <w:shd w:val="clear" w:color="000000" w:fill="EAF3FA"/>
            <w:noWrap/>
            <w:vAlign w:val="center"/>
            <w:hideMark/>
          </w:tcPr>
          <w:p w14:paraId="3F0EECE0" w14:textId="77777777" w:rsidR="00CC454E" w:rsidRPr="00CC454E" w:rsidRDefault="00CC454E" w:rsidP="00CC454E">
            <w:pPr>
              <w:rPr>
                <w:rFonts w:ascii="Arial" w:hAnsi="Arial" w:cs="Arial"/>
                <w:b/>
                <w:bCs/>
                <w:sz w:val="18"/>
                <w:szCs w:val="18"/>
                <w:lang w:val="lv-LV" w:eastAsia="lv-LV"/>
              </w:rPr>
            </w:pPr>
            <w:r w:rsidRPr="00CC454E">
              <w:rPr>
                <w:rFonts w:ascii="Arial" w:hAnsi="Arial" w:cs="Arial"/>
                <w:b/>
                <w:bCs/>
                <w:sz w:val="18"/>
                <w:szCs w:val="18"/>
                <w:lang w:val="lv-LV" w:eastAsia="lv-LV"/>
              </w:rPr>
              <w:t>Malta</w:t>
            </w:r>
          </w:p>
        </w:tc>
        <w:tc>
          <w:tcPr>
            <w:tcW w:w="1280" w:type="dxa"/>
            <w:tcBorders>
              <w:top w:val="nil"/>
              <w:left w:val="nil"/>
              <w:bottom w:val="single" w:sz="4" w:space="0" w:color="auto"/>
              <w:right w:val="nil"/>
            </w:tcBorders>
            <w:shd w:val="clear" w:color="000000" w:fill="EAF3FA"/>
            <w:noWrap/>
            <w:vAlign w:val="center"/>
            <w:hideMark/>
          </w:tcPr>
          <w:p w14:paraId="3AA232D4" w14:textId="77777777" w:rsidR="00CC454E" w:rsidRPr="00CC454E" w:rsidRDefault="00CC454E" w:rsidP="00CC454E">
            <w:pPr>
              <w:jc w:val="center"/>
              <w:rPr>
                <w:rFonts w:ascii="Arial" w:hAnsi="Arial" w:cs="Arial"/>
                <w:sz w:val="18"/>
                <w:szCs w:val="18"/>
                <w:lang w:val="lv-LV" w:eastAsia="lv-LV"/>
              </w:rPr>
            </w:pPr>
            <w:r w:rsidRPr="00CC454E">
              <w:rPr>
                <w:rFonts w:ascii="Arial" w:hAnsi="Arial" w:cs="Arial"/>
                <w:sz w:val="18"/>
                <w:szCs w:val="18"/>
                <w:lang w:val="lv-LV" w:eastAsia="lv-LV"/>
              </w:rPr>
              <w:t>12 701.4</w:t>
            </w:r>
          </w:p>
        </w:tc>
        <w:tc>
          <w:tcPr>
            <w:tcW w:w="1280" w:type="dxa"/>
            <w:tcBorders>
              <w:top w:val="nil"/>
              <w:left w:val="nil"/>
              <w:bottom w:val="single" w:sz="4" w:space="0" w:color="auto"/>
              <w:right w:val="single" w:sz="4" w:space="0" w:color="auto"/>
            </w:tcBorders>
            <w:shd w:val="clear" w:color="000000" w:fill="EAF3FA"/>
            <w:noWrap/>
            <w:vAlign w:val="bottom"/>
            <w:hideMark/>
          </w:tcPr>
          <w:p w14:paraId="7B84C69A" w14:textId="77777777" w:rsidR="00CC454E" w:rsidRPr="00CC454E" w:rsidRDefault="00CC454E" w:rsidP="00CC454E">
            <w:pPr>
              <w:jc w:val="center"/>
              <w:rPr>
                <w:rFonts w:ascii="Calibri" w:hAnsi="Calibri" w:cs="Calibri"/>
                <w:color w:val="000000"/>
                <w:sz w:val="22"/>
                <w:szCs w:val="22"/>
                <w:lang w:val="lv-LV" w:eastAsia="lv-LV"/>
              </w:rPr>
            </w:pPr>
            <w:r w:rsidRPr="00CC454E">
              <w:rPr>
                <w:rFonts w:ascii="Calibri" w:hAnsi="Calibri" w:cs="Calibri"/>
                <w:color w:val="000000"/>
                <w:sz w:val="22"/>
                <w:szCs w:val="22"/>
                <w:lang w:val="lv-LV" w:eastAsia="lv-LV"/>
              </w:rPr>
              <w:t>0.10</w:t>
            </w:r>
          </w:p>
        </w:tc>
      </w:tr>
      <w:tr w:rsidR="00CC454E" w:rsidRPr="00CC454E" w14:paraId="2445F039" w14:textId="77777777" w:rsidTr="00CC454E">
        <w:trPr>
          <w:divId w:val="2036417083"/>
          <w:trHeight w:val="290"/>
        </w:trPr>
        <w:tc>
          <w:tcPr>
            <w:tcW w:w="1280" w:type="dxa"/>
            <w:tcBorders>
              <w:top w:val="nil"/>
              <w:left w:val="nil"/>
              <w:bottom w:val="nil"/>
              <w:right w:val="nil"/>
            </w:tcBorders>
            <w:shd w:val="clear" w:color="000000" w:fill="FFF2CC"/>
            <w:noWrap/>
            <w:vAlign w:val="center"/>
            <w:hideMark/>
          </w:tcPr>
          <w:p w14:paraId="0F84871B" w14:textId="77777777" w:rsidR="00CC454E" w:rsidRPr="00CC454E" w:rsidRDefault="00CC454E" w:rsidP="00CC454E">
            <w:pPr>
              <w:rPr>
                <w:rFonts w:ascii="Arial" w:hAnsi="Arial" w:cs="Arial"/>
                <w:sz w:val="18"/>
                <w:szCs w:val="18"/>
                <w:lang w:val="lv-LV" w:eastAsia="lv-LV"/>
              </w:rPr>
            </w:pPr>
            <w:r w:rsidRPr="00CC454E">
              <w:rPr>
                <w:rFonts w:ascii="Arial" w:hAnsi="Arial" w:cs="Arial"/>
                <w:sz w:val="18"/>
                <w:szCs w:val="18"/>
                <w:lang w:val="lv-LV" w:eastAsia="lv-LV"/>
              </w:rPr>
              <w:t>iespējamais</w:t>
            </w:r>
          </w:p>
        </w:tc>
        <w:tc>
          <w:tcPr>
            <w:tcW w:w="1280" w:type="dxa"/>
            <w:tcBorders>
              <w:top w:val="nil"/>
              <w:left w:val="nil"/>
              <w:bottom w:val="nil"/>
              <w:right w:val="nil"/>
            </w:tcBorders>
            <w:shd w:val="clear" w:color="auto" w:fill="auto"/>
            <w:noWrap/>
            <w:vAlign w:val="bottom"/>
            <w:hideMark/>
          </w:tcPr>
          <w:p w14:paraId="6A3FD9CB" w14:textId="77777777" w:rsidR="00CC454E" w:rsidRPr="00CC454E" w:rsidRDefault="00CC454E" w:rsidP="00CC454E">
            <w:pPr>
              <w:rPr>
                <w:rFonts w:ascii="Arial" w:hAnsi="Arial" w:cs="Arial"/>
                <w:sz w:val="18"/>
                <w:szCs w:val="18"/>
                <w:lang w:val="lv-LV" w:eastAsia="lv-LV"/>
              </w:rPr>
            </w:pPr>
          </w:p>
        </w:tc>
        <w:tc>
          <w:tcPr>
            <w:tcW w:w="1280" w:type="dxa"/>
            <w:tcBorders>
              <w:top w:val="nil"/>
              <w:left w:val="nil"/>
              <w:bottom w:val="nil"/>
              <w:right w:val="nil"/>
            </w:tcBorders>
            <w:shd w:val="clear" w:color="auto" w:fill="auto"/>
            <w:noWrap/>
            <w:vAlign w:val="bottom"/>
            <w:hideMark/>
          </w:tcPr>
          <w:p w14:paraId="2E93296C" w14:textId="77777777" w:rsidR="00CC454E" w:rsidRPr="00CC454E" w:rsidRDefault="00CC454E" w:rsidP="00CC454E">
            <w:pPr>
              <w:rPr>
                <w:sz w:val="20"/>
                <w:szCs w:val="20"/>
                <w:lang w:val="lv-LV" w:eastAsia="lv-LV"/>
              </w:rPr>
            </w:pPr>
          </w:p>
        </w:tc>
        <w:tc>
          <w:tcPr>
            <w:tcW w:w="1280" w:type="dxa"/>
            <w:tcBorders>
              <w:top w:val="nil"/>
              <w:left w:val="nil"/>
              <w:bottom w:val="nil"/>
              <w:right w:val="nil"/>
            </w:tcBorders>
            <w:shd w:val="clear" w:color="auto" w:fill="auto"/>
            <w:noWrap/>
            <w:vAlign w:val="bottom"/>
            <w:hideMark/>
          </w:tcPr>
          <w:p w14:paraId="5EA8E48E" w14:textId="77777777" w:rsidR="00CC454E" w:rsidRPr="00CC454E" w:rsidRDefault="00CC454E" w:rsidP="00CC454E">
            <w:pPr>
              <w:rPr>
                <w:sz w:val="20"/>
                <w:szCs w:val="20"/>
                <w:lang w:val="lv-LV" w:eastAsia="lv-LV"/>
              </w:rPr>
            </w:pPr>
          </w:p>
        </w:tc>
        <w:tc>
          <w:tcPr>
            <w:tcW w:w="1280" w:type="dxa"/>
            <w:tcBorders>
              <w:top w:val="nil"/>
              <w:left w:val="nil"/>
              <w:bottom w:val="nil"/>
              <w:right w:val="nil"/>
            </w:tcBorders>
            <w:shd w:val="clear" w:color="auto" w:fill="auto"/>
            <w:noWrap/>
            <w:vAlign w:val="bottom"/>
            <w:hideMark/>
          </w:tcPr>
          <w:p w14:paraId="10551100" w14:textId="77777777" w:rsidR="00CC454E" w:rsidRPr="00CC454E" w:rsidRDefault="00CC454E" w:rsidP="00CC454E">
            <w:pPr>
              <w:rPr>
                <w:sz w:val="20"/>
                <w:szCs w:val="20"/>
                <w:lang w:val="lv-LV" w:eastAsia="lv-LV"/>
              </w:rPr>
            </w:pPr>
          </w:p>
        </w:tc>
        <w:tc>
          <w:tcPr>
            <w:tcW w:w="1280" w:type="dxa"/>
            <w:tcBorders>
              <w:top w:val="nil"/>
              <w:left w:val="nil"/>
              <w:bottom w:val="nil"/>
              <w:right w:val="nil"/>
            </w:tcBorders>
            <w:shd w:val="clear" w:color="auto" w:fill="auto"/>
            <w:noWrap/>
            <w:vAlign w:val="bottom"/>
            <w:hideMark/>
          </w:tcPr>
          <w:p w14:paraId="2A79F8AE" w14:textId="77777777" w:rsidR="00CC454E" w:rsidRPr="00CC454E" w:rsidRDefault="00CC454E" w:rsidP="00CC454E">
            <w:pPr>
              <w:rPr>
                <w:sz w:val="20"/>
                <w:szCs w:val="20"/>
                <w:lang w:val="lv-LV" w:eastAsia="lv-LV"/>
              </w:rPr>
            </w:pPr>
          </w:p>
        </w:tc>
      </w:tr>
      <w:tr w:rsidR="00CC454E" w:rsidRPr="00CC454E" w14:paraId="75FE3BBD" w14:textId="77777777" w:rsidTr="00CC454E">
        <w:trPr>
          <w:divId w:val="2036417083"/>
          <w:trHeight w:val="290"/>
        </w:trPr>
        <w:tc>
          <w:tcPr>
            <w:tcW w:w="1280" w:type="dxa"/>
            <w:tcBorders>
              <w:top w:val="nil"/>
              <w:left w:val="nil"/>
              <w:bottom w:val="nil"/>
              <w:right w:val="nil"/>
            </w:tcBorders>
            <w:shd w:val="clear" w:color="000000" w:fill="E2EFDA"/>
            <w:noWrap/>
            <w:vAlign w:val="center"/>
            <w:hideMark/>
          </w:tcPr>
          <w:p w14:paraId="2A1D7959" w14:textId="77777777" w:rsidR="00CC454E" w:rsidRPr="00CC454E" w:rsidRDefault="00CC454E" w:rsidP="00CC454E">
            <w:pPr>
              <w:rPr>
                <w:rFonts w:ascii="Arial" w:hAnsi="Arial" w:cs="Arial"/>
                <w:sz w:val="18"/>
                <w:szCs w:val="18"/>
                <w:lang w:val="lv-LV" w:eastAsia="lv-LV"/>
              </w:rPr>
            </w:pPr>
            <w:r w:rsidRPr="00CC454E">
              <w:rPr>
                <w:rFonts w:ascii="Arial" w:hAnsi="Arial" w:cs="Arial"/>
                <w:sz w:val="18"/>
                <w:szCs w:val="18"/>
                <w:lang w:val="lv-LV" w:eastAsia="lv-LV"/>
              </w:rPr>
              <w:t>pagaidu</w:t>
            </w:r>
          </w:p>
        </w:tc>
        <w:tc>
          <w:tcPr>
            <w:tcW w:w="1280" w:type="dxa"/>
            <w:tcBorders>
              <w:top w:val="nil"/>
              <w:left w:val="nil"/>
              <w:bottom w:val="nil"/>
              <w:right w:val="nil"/>
            </w:tcBorders>
            <w:shd w:val="clear" w:color="auto" w:fill="auto"/>
            <w:noWrap/>
            <w:vAlign w:val="bottom"/>
            <w:hideMark/>
          </w:tcPr>
          <w:p w14:paraId="47C51F7A" w14:textId="77777777" w:rsidR="00CC454E" w:rsidRPr="00CC454E" w:rsidRDefault="00CC454E" w:rsidP="00CC454E">
            <w:pPr>
              <w:rPr>
                <w:rFonts w:ascii="Arial" w:hAnsi="Arial" w:cs="Arial"/>
                <w:sz w:val="18"/>
                <w:szCs w:val="18"/>
                <w:lang w:val="lv-LV" w:eastAsia="lv-LV"/>
              </w:rPr>
            </w:pPr>
          </w:p>
        </w:tc>
        <w:tc>
          <w:tcPr>
            <w:tcW w:w="1280" w:type="dxa"/>
            <w:tcBorders>
              <w:top w:val="nil"/>
              <w:left w:val="nil"/>
              <w:bottom w:val="nil"/>
              <w:right w:val="nil"/>
            </w:tcBorders>
            <w:shd w:val="clear" w:color="auto" w:fill="auto"/>
            <w:noWrap/>
            <w:vAlign w:val="bottom"/>
            <w:hideMark/>
          </w:tcPr>
          <w:p w14:paraId="7055647B" w14:textId="77777777" w:rsidR="00CC454E" w:rsidRPr="00CC454E" w:rsidRDefault="00CC454E" w:rsidP="00CC454E">
            <w:pPr>
              <w:rPr>
                <w:sz w:val="20"/>
                <w:szCs w:val="20"/>
                <w:lang w:val="lv-LV" w:eastAsia="lv-LV"/>
              </w:rPr>
            </w:pPr>
          </w:p>
        </w:tc>
        <w:tc>
          <w:tcPr>
            <w:tcW w:w="1280" w:type="dxa"/>
            <w:tcBorders>
              <w:top w:val="nil"/>
              <w:left w:val="nil"/>
              <w:bottom w:val="nil"/>
              <w:right w:val="nil"/>
            </w:tcBorders>
            <w:shd w:val="clear" w:color="auto" w:fill="auto"/>
            <w:noWrap/>
            <w:vAlign w:val="bottom"/>
            <w:hideMark/>
          </w:tcPr>
          <w:p w14:paraId="16FCC8BC" w14:textId="77777777" w:rsidR="00CC454E" w:rsidRPr="00CC454E" w:rsidRDefault="00CC454E" w:rsidP="00CC454E">
            <w:pPr>
              <w:rPr>
                <w:sz w:val="20"/>
                <w:szCs w:val="20"/>
                <w:lang w:val="lv-LV" w:eastAsia="lv-LV"/>
              </w:rPr>
            </w:pPr>
          </w:p>
        </w:tc>
        <w:tc>
          <w:tcPr>
            <w:tcW w:w="1280" w:type="dxa"/>
            <w:tcBorders>
              <w:top w:val="nil"/>
              <w:left w:val="nil"/>
              <w:bottom w:val="nil"/>
              <w:right w:val="nil"/>
            </w:tcBorders>
            <w:shd w:val="clear" w:color="auto" w:fill="auto"/>
            <w:noWrap/>
            <w:vAlign w:val="bottom"/>
            <w:hideMark/>
          </w:tcPr>
          <w:p w14:paraId="7AAD861F" w14:textId="77777777" w:rsidR="00CC454E" w:rsidRPr="00CC454E" w:rsidRDefault="00CC454E" w:rsidP="00CC454E">
            <w:pPr>
              <w:rPr>
                <w:sz w:val="20"/>
                <w:szCs w:val="20"/>
                <w:lang w:val="lv-LV" w:eastAsia="lv-LV"/>
              </w:rPr>
            </w:pPr>
          </w:p>
        </w:tc>
        <w:tc>
          <w:tcPr>
            <w:tcW w:w="1280" w:type="dxa"/>
            <w:tcBorders>
              <w:top w:val="nil"/>
              <w:left w:val="nil"/>
              <w:bottom w:val="nil"/>
              <w:right w:val="nil"/>
            </w:tcBorders>
            <w:shd w:val="clear" w:color="auto" w:fill="auto"/>
            <w:noWrap/>
            <w:vAlign w:val="bottom"/>
            <w:hideMark/>
          </w:tcPr>
          <w:p w14:paraId="6DFF4B72" w14:textId="77777777" w:rsidR="00CC454E" w:rsidRPr="00CC454E" w:rsidRDefault="00CC454E" w:rsidP="00CC454E">
            <w:pPr>
              <w:rPr>
                <w:sz w:val="20"/>
                <w:szCs w:val="20"/>
                <w:lang w:val="lv-LV" w:eastAsia="lv-LV"/>
              </w:rPr>
            </w:pPr>
          </w:p>
        </w:tc>
      </w:tr>
    </w:tbl>
    <w:p w14:paraId="1A00F388" w14:textId="40666782" w:rsidR="005F3DFE" w:rsidRDefault="006A77D9" w:rsidP="00656C13">
      <w:pPr>
        <w:spacing w:before="120" w:after="120"/>
        <w:rPr>
          <w:rFonts w:ascii="Arial" w:hAnsi="Arial" w:cs="Arial"/>
          <w:sz w:val="22"/>
          <w:szCs w:val="22"/>
          <w:lang w:val="lv-LV"/>
        </w:rPr>
      </w:pPr>
      <w:r>
        <w:rPr>
          <w:rFonts w:ascii="Arial" w:hAnsi="Arial" w:cs="Arial"/>
          <w:sz w:val="22"/>
          <w:szCs w:val="22"/>
          <w:lang w:val="lv-LV"/>
        </w:rPr>
        <w:fldChar w:fldCharType="end"/>
      </w:r>
    </w:p>
    <w:tbl>
      <w:tblPr>
        <w:tblStyle w:val="TableGrid"/>
        <w:tblW w:w="0" w:type="auto"/>
        <w:tblLook w:val="04A0" w:firstRow="1" w:lastRow="0" w:firstColumn="1" w:lastColumn="0" w:noHBand="0" w:noVBand="1"/>
      </w:tblPr>
      <w:tblGrid>
        <w:gridCol w:w="4744"/>
        <w:gridCol w:w="4744"/>
      </w:tblGrid>
      <w:tr w:rsidR="00656C13" w14:paraId="17469F91" w14:textId="77777777" w:rsidTr="00656C13">
        <w:tc>
          <w:tcPr>
            <w:tcW w:w="4744" w:type="dxa"/>
          </w:tcPr>
          <w:p w14:paraId="70F67087" w14:textId="0CD998C2" w:rsidR="00656C13" w:rsidRDefault="00F67396" w:rsidP="00656C13">
            <w:pPr>
              <w:spacing w:before="120" w:after="120"/>
              <w:rPr>
                <w:rFonts w:ascii="Arial" w:hAnsi="Arial" w:cs="Arial"/>
                <w:sz w:val="22"/>
                <w:szCs w:val="22"/>
                <w:lang w:val="lv-LV"/>
              </w:rPr>
            </w:pPr>
            <w:r>
              <w:rPr>
                <w:rFonts w:ascii="Arial" w:hAnsi="Arial" w:cs="Arial"/>
                <w:noProof/>
                <w:sz w:val="22"/>
                <w:szCs w:val="22"/>
                <w:lang w:val="lv-LV"/>
              </w:rPr>
              <w:lastRenderedPageBreak/>
              <w:drawing>
                <wp:inline distT="0" distB="0" distL="0" distR="0" wp14:anchorId="4D3650C9" wp14:editId="0F7D7D3F">
                  <wp:extent cx="2858145" cy="2000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3050" cy="2010681"/>
                          </a:xfrm>
                          <a:prstGeom prst="rect">
                            <a:avLst/>
                          </a:prstGeom>
                          <a:noFill/>
                          <a:ln>
                            <a:noFill/>
                          </a:ln>
                        </pic:spPr>
                      </pic:pic>
                    </a:graphicData>
                  </a:graphic>
                </wp:inline>
              </w:drawing>
            </w:r>
          </w:p>
        </w:tc>
        <w:tc>
          <w:tcPr>
            <w:tcW w:w="4744" w:type="dxa"/>
          </w:tcPr>
          <w:p w14:paraId="6D584ABF" w14:textId="77777777" w:rsidR="00656C13" w:rsidRDefault="00656C13" w:rsidP="00656C13">
            <w:pPr>
              <w:spacing w:before="120" w:after="120"/>
              <w:rPr>
                <w:rFonts w:ascii="Arial" w:hAnsi="Arial" w:cs="Arial"/>
                <w:sz w:val="22"/>
                <w:szCs w:val="22"/>
                <w:lang w:val="lv-LV"/>
              </w:rPr>
            </w:pPr>
            <w:r w:rsidRPr="00656C13">
              <w:rPr>
                <w:rFonts w:ascii="Arial" w:hAnsi="Arial" w:cs="Arial"/>
                <w:sz w:val="22"/>
                <w:szCs w:val="22"/>
                <w:lang w:val="lv-LV"/>
              </w:rPr>
              <w:t>Vērtējot ekonomisko izaugsmi, nosaka IKP pieaugumu vai samazinājumu (dinamiku) procentos pret iepriekšējo gadu vai kādu izvēlētu bāzes gadu. Lai IKP dinamiku neietekmētu cenu izmaiņas, IKP faktiskajās cenās pārrēķina iepriekšējā gada cenās vai kāda bāzes gada cenās, un to sauc par reālo IKP jeb IKP salīdzināmajās cenās.</w:t>
            </w:r>
          </w:p>
          <w:p w14:paraId="3947EC72" w14:textId="4A942558" w:rsidR="001C6833" w:rsidRDefault="001C6833" w:rsidP="00656C13">
            <w:pPr>
              <w:spacing w:before="120" w:after="120"/>
              <w:rPr>
                <w:rFonts w:ascii="Arial" w:hAnsi="Arial" w:cs="Arial"/>
                <w:sz w:val="22"/>
                <w:szCs w:val="22"/>
                <w:lang w:val="lv-LV"/>
              </w:rPr>
            </w:pPr>
            <w:r w:rsidRPr="001C6833">
              <w:rPr>
                <w:rFonts w:ascii="Arial" w:hAnsi="Arial" w:cs="Arial"/>
                <w:b/>
                <w:bCs/>
                <w:sz w:val="22"/>
                <w:szCs w:val="22"/>
                <w:lang w:val="lv-LV"/>
              </w:rPr>
              <w:t>Avots</w:t>
            </w:r>
            <w:r>
              <w:rPr>
                <w:rFonts w:ascii="Arial" w:hAnsi="Arial" w:cs="Arial"/>
                <w:sz w:val="22"/>
                <w:szCs w:val="22"/>
                <w:lang w:val="lv-LV"/>
              </w:rPr>
              <w:t xml:space="preserve">: </w:t>
            </w:r>
            <w:proofErr w:type="spellStart"/>
            <w:r>
              <w:rPr>
                <w:rFonts w:ascii="Arial" w:hAnsi="Arial" w:cs="Arial"/>
                <w:sz w:val="22"/>
                <w:szCs w:val="22"/>
                <w:lang w:val="lv-LV"/>
              </w:rPr>
              <w:t>Eurostat</w:t>
            </w:r>
            <w:proofErr w:type="spellEnd"/>
            <w:r>
              <w:rPr>
                <w:rFonts w:ascii="Arial" w:hAnsi="Arial" w:cs="Arial"/>
                <w:sz w:val="22"/>
                <w:szCs w:val="22"/>
                <w:lang w:val="lv-LV"/>
              </w:rPr>
              <w:t xml:space="preserve"> datubāze </w:t>
            </w:r>
            <w:hyperlink r:id="rId11" w:history="1">
              <w:r w:rsidRPr="001C6833">
                <w:rPr>
                  <w:rFonts w:ascii="Arial" w:hAnsi="Arial" w:cs="Arial"/>
                  <w:color w:val="004494"/>
                  <w:u w:val="single"/>
                  <w:bdr w:val="none" w:sz="0" w:space="0" w:color="auto" w:frame="1"/>
                  <w:shd w:val="clear" w:color="auto" w:fill="FFFFFF"/>
                </w:rPr>
                <w:t>Real GDP growth rate - volume [TEC00115]</w:t>
              </w:r>
            </w:hyperlink>
          </w:p>
        </w:tc>
      </w:tr>
    </w:tbl>
    <w:p w14:paraId="0F823A3A" w14:textId="120071E7" w:rsidR="009350D3" w:rsidRPr="00656C13" w:rsidRDefault="009350D3" w:rsidP="00656C13">
      <w:pPr>
        <w:spacing w:before="120" w:after="120"/>
        <w:rPr>
          <w:rFonts w:ascii="Arial" w:hAnsi="Arial" w:cs="Arial"/>
          <w:sz w:val="22"/>
          <w:szCs w:val="22"/>
          <w:lang w:val="lv-LV"/>
        </w:rPr>
      </w:pPr>
    </w:p>
    <w:p w14:paraId="361E728D" w14:textId="3C0A818C" w:rsidR="009350D3" w:rsidRPr="00656C13" w:rsidRDefault="00A33B26" w:rsidP="00656C13">
      <w:pPr>
        <w:spacing w:before="120" w:after="120"/>
        <w:rPr>
          <w:rFonts w:ascii="Arial" w:hAnsi="Arial" w:cs="Arial"/>
          <w:sz w:val="22"/>
          <w:szCs w:val="22"/>
          <w:lang w:val="lv-LV"/>
        </w:rPr>
      </w:pPr>
      <w:r>
        <w:rPr>
          <w:noProof/>
        </w:rPr>
        <w:drawing>
          <wp:inline distT="0" distB="0" distL="0" distR="0" wp14:anchorId="7A189BF7" wp14:editId="1D245735">
            <wp:extent cx="4962526" cy="2282825"/>
            <wp:effectExtent l="0" t="0" r="9525" b="3175"/>
            <wp:docPr id="10" name="Chart 10">
              <a:extLst xmlns:a="http://schemas.openxmlformats.org/drawingml/2006/main">
                <a:ext uri="{FF2B5EF4-FFF2-40B4-BE49-F238E27FC236}">
                  <a16:creationId xmlns:a16="http://schemas.microsoft.com/office/drawing/2014/main" id="{672C62C9-0427-4F23-AD0E-2A6E9A38AD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Style w:val="TableGrid"/>
        <w:tblW w:w="0" w:type="auto"/>
        <w:tblLook w:val="04A0" w:firstRow="1" w:lastRow="0" w:firstColumn="1" w:lastColumn="0" w:noHBand="0" w:noVBand="1"/>
      </w:tblPr>
      <w:tblGrid>
        <w:gridCol w:w="4746"/>
        <w:gridCol w:w="4742"/>
      </w:tblGrid>
      <w:tr w:rsidR="00F67396" w14:paraId="5C62E4B8" w14:textId="77777777" w:rsidTr="006A77D9">
        <w:tc>
          <w:tcPr>
            <w:tcW w:w="4744" w:type="dxa"/>
          </w:tcPr>
          <w:p w14:paraId="4BB24C21" w14:textId="1663228A" w:rsidR="006A77D9" w:rsidRDefault="00F67396" w:rsidP="00656C13">
            <w:pPr>
              <w:spacing w:before="120" w:after="120"/>
              <w:rPr>
                <w:rFonts w:ascii="Arial" w:hAnsi="Arial" w:cs="Arial"/>
                <w:sz w:val="22"/>
                <w:szCs w:val="22"/>
                <w:lang w:val="lv-LV"/>
              </w:rPr>
            </w:pPr>
            <w:r>
              <w:rPr>
                <w:rFonts w:ascii="Arial" w:hAnsi="Arial" w:cs="Arial"/>
                <w:noProof/>
                <w:sz w:val="22"/>
                <w:szCs w:val="22"/>
                <w:lang w:val="lv-LV"/>
              </w:rPr>
              <w:drawing>
                <wp:inline distT="0" distB="0" distL="0" distR="0" wp14:anchorId="78F2C622" wp14:editId="3DB31E93">
                  <wp:extent cx="2868792" cy="1685925"/>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8869" cy="1697724"/>
                          </a:xfrm>
                          <a:prstGeom prst="rect">
                            <a:avLst/>
                          </a:prstGeom>
                          <a:noFill/>
                          <a:ln>
                            <a:noFill/>
                          </a:ln>
                        </pic:spPr>
                      </pic:pic>
                    </a:graphicData>
                  </a:graphic>
                </wp:inline>
              </w:drawing>
            </w:r>
          </w:p>
        </w:tc>
        <w:tc>
          <w:tcPr>
            <w:tcW w:w="4744" w:type="dxa"/>
          </w:tcPr>
          <w:p w14:paraId="2E8A9B4F" w14:textId="301A6BD2" w:rsidR="006A77D9" w:rsidRDefault="006A77D9" w:rsidP="00656C13">
            <w:pPr>
              <w:spacing w:before="120" w:after="120"/>
              <w:rPr>
                <w:rFonts w:ascii="Arial" w:hAnsi="Arial" w:cs="Arial"/>
                <w:sz w:val="22"/>
                <w:szCs w:val="22"/>
                <w:lang w:val="lv-LV"/>
              </w:rPr>
            </w:pPr>
            <w:r w:rsidRPr="00656C13">
              <w:rPr>
                <w:rFonts w:ascii="Arial" w:hAnsi="Arial" w:cs="Arial"/>
                <w:sz w:val="22"/>
                <w:szCs w:val="22"/>
                <w:lang w:val="lv-LV"/>
              </w:rPr>
              <w:t>Populārs ekonomiskās attīstības līmeni raksturojošs rādītājs ir arī IKP uz vienu iedzīvotāju. Pērn ES-2</w:t>
            </w:r>
            <w:r w:rsidR="00CC454E">
              <w:rPr>
                <w:rFonts w:ascii="Arial" w:hAnsi="Arial" w:cs="Arial"/>
                <w:sz w:val="22"/>
                <w:szCs w:val="22"/>
                <w:lang w:val="lv-LV"/>
              </w:rPr>
              <w:t>7</w:t>
            </w:r>
            <w:r w:rsidRPr="00656C13">
              <w:rPr>
                <w:rFonts w:ascii="Arial" w:hAnsi="Arial" w:cs="Arial"/>
                <w:sz w:val="22"/>
                <w:szCs w:val="22"/>
                <w:lang w:val="lv-LV"/>
              </w:rPr>
              <w:t xml:space="preserve"> IKP uz vienu iedzīvotāju bija </w:t>
            </w:r>
            <w:r w:rsidR="00CC454E">
              <w:rPr>
                <w:rFonts w:ascii="Arial" w:hAnsi="Arial" w:cs="Arial"/>
                <w:sz w:val="22"/>
                <w:szCs w:val="22"/>
                <w:lang w:val="lv-LV"/>
              </w:rPr>
              <w:t>29</w:t>
            </w:r>
            <w:r w:rsidRPr="00656C13">
              <w:rPr>
                <w:rFonts w:ascii="Arial" w:hAnsi="Arial" w:cs="Arial"/>
                <w:sz w:val="22"/>
                <w:szCs w:val="22"/>
                <w:lang w:val="lv-LV"/>
              </w:rPr>
              <w:t>,</w:t>
            </w:r>
            <w:r w:rsidR="00CC454E">
              <w:rPr>
                <w:rFonts w:ascii="Arial" w:hAnsi="Arial" w:cs="Arial"/>
                <w:sz w:val="22"/>
                <w:szCs w:val="22"/>
                <w:lang w:val="lv-LV"/>
              </w:rPr>
              <w:t>8</w:t>
            </w:r>
            <w:r w:rsidRPr="00656C13">
              <w:rPr>
                <w:rFonts w:ascii="Arial" w:hAnsi="Arial" w:cs="Arial"/>
                <w:sz w:val="22"/>
                <w:szCs w:val="22"/>
                <w:lang w:val="lv-LV"/>
              </w:rPr>
              <w:t xml:space="preserve">  tūkst. eiro. Latvijā 20</w:t>
            </w:r>
            <w:r w:rsidR="00CC454E">
              <w:rPr>
                <w:rFonts w:ascii="Arial" w:hAnsi="Arial" w:cs="Arial"/>
                <w:sz w:val="22"/>
                <w:szCs w:val="22"/>
                <w:lang w:val="lv-LV"/>
              </w:rPr>
              <w:t>20</w:t>
            </w:r>
            <w:r w:rsidRPr="00656C13">
              <w:rPr>
                <w:rFonts w:ascii="Arial" w:hAnsi="Arial" w:cs="Arial"/>
                <w:sz w:val="22"/>
                <w:szCs w:val="22"/>
                <w:lang w:val="lv-LV"/>
              </w:rPr>
              <w:t xml:space="preserve">. gadā IKP uz vienu iedzīvotāju bija </w:t>
            </w:r>
            <w:r w:rsidR="00CC454E">
              <w:rPr>
                <w:rFonts w:ascii="Arial" w:hAnsi="Arial" w:cs="Arial"/>
                <w:sz w:val="22"/>
                <w:szCs w:val="22"/>
                <w:lang w:val="lv-LV"/>
              </w:rPr>
              <w:t>15,4</w:t>
            </w:r>
            <w:r w:rsidRPr="00656C13">
              <w:rPr>
                <w:rFonts w:ascii="Arial" w:hAnsi="Arial" w:cs="Arial"/>
                <w:sz w:val="22"/>
                <w:szCs w:val="22"/>
                <w:lang w:val="lv-LV"/>
              </w:rPr>
              <w:t xml:space="preserve"> tūkst. eiro, un tas bija sestais zemākais rādītājs no visām Eiropas Savienības dalībvalstīm. Pagājušajā gadā vislielākais IKP uz vienu iedzīvotāju bija Luksemburgā – </w:t>
            </w:r>
            <w:r w:rsidR="00CC454E">
              <w:rPr>
                <w:rFonts w:ascii="Arial" w:hAnsi="Arial" w:cs="Arial"/>
                <w:sz w:val="22"/>
                <w:szCs w:val="22"/>
                <w:lang w:val="lv-LV"/>
              </w:rPr>
              <w:t>101,6</w:t>
            </w:r>
            <w:r w:rsidRPr="00656C13">
              <w:rPr>
                <w:rFonts w:ascii="Arial" w:hAnsi="Arial" w:cs="Arial"/>
                <w:sz w:val="22"/>
                <w:szCs w:val="22"/>
                <w:lang w:val="lv-LV"/>
              </w:rPr>
              <w:t xml:space="preserve"> tūkst., Īrijā – </w:t>
            </w:r>
            <w:r w:rsidR="00CC454E">
              <w:rPr>
                <w:rFonts w:ascii="Arial" w:hAnsi="Arial" w:cs="Arial"/>
                <w:sz w:val="22"/>
                <w:szCs w:val="22"/>
                <w:lang w:val="lv-LV"/>
              </w:rPr>
              <w:t>74,9</w:t>
            </w:r>
            <w:r w:rsidRPr="00656C13">
              <w:rPr>
                <w:rFonts w:ascii="Arial" w:hAnsi="Arial" w:cs="Arial"/>
                <w:sz w:val="22"/>
                <w:szCs w:val="22"/>
                <w:lang w:val="lv-LV"/>
              </w:rPr>
              <w:t xml:space="preserve"> tūkst. eiro un Dānijā – </w:t>
            </w:r>
            <w:r w:rsidR="00CC454E">
              <w:rPr>
                <w:rFonts w:ascii="Arial" w:hAnsi="Arial" w:cs="Arial"/>
                <w:sz w:val="22"/>
                <w:szCs w:val="22"/>
                <w:lang w:val="lv-LV"/>
              </w:rPr>
              <w:t>53,6</w:t>
            </w:r>
            <w:r w:rsidRPr="00656C13">
              <w:rPr>
                <w:rFonts w:ascii="Arial" w:hAnsi="Arial" w:cs="Arial"/>
                <w:sz w:val="22"/>
                <w:szCs w:val="22"/>
                <w:lang w:val="lv-LV"/>
              </w:rPr>
              <w:t xml:space="preserve"> tūkst. bet vismazākais: Bulgārijā – </w:t>
            </w:r>
            <w:r w:rsidR="00CC454E">
              <w:rPr>
                <w:rFonts w:ascii="Arial" w:hAnsi="Arial" w:cs="Arial"/>
                <w:sz w:val="22"/>
                <w:szCs w:val="22"/>
                <w:lang w:val="lv-LV"/>
              </w:rPr>
              <w:t>8,8</w:t>
            </w:r>
            <w:r w:rsidRPr="00656C13">
              <w:rPr>
                <w:rFonts w:ascii="Arial" w:hAnsi="Arial" w:cs="Arial"/>
                <w:sz w:val="22"/>
                <w:szCs w:val="22"/>
                <w:lang w:val="lv-LV"/>
              </w:rPr>
              <w:t xml:space="preserve"> tūkst. eiro, Rumānijā – </w:t>
            </w:r>
            <w:r w:rsidR="00CC454E">
              <w:rPr>
                <w:rFonts w:ascii="Arial" w:hAnsi="Arial" w:cs="Arial"/>
                <w:sz w:val="22"/>
                <w:szCs w:val="22"/>
                <w:lang w:val="lv-LV"/>
              </w:rPr>
              <w:t>11,3</w:t>
            </w:r>
            <w:r w:rsidRPr="00656C13">
              <w:rPr>
                <w:rFonts w:ascii="Arial" w:hAnsi="Arial" w:cs="Arial"/>
                <w:sz w:val="22"/>
                <w:szCs w:val="22"/>
                <w:lang w:val="lv-LV"/>
              </w:rPr>
              <w:t xml:space="preserve"> tūkst. eiro un Horvātijā – </w:t>
            </w:r>
            <w:r w:rsidR="00CC454E">
              <w:rPr>
                <w:rFonts w:ascii="Arial" w:hAnsi="Arial" w:cs="Arial"/>
                <w:sz w:val="22"/>
                <w:szCs w:val="22"/>
                <w:lang w:val="lv-LV"/>
              </w:rPr>
              <w:t>12,2</w:t>
            </w:r>
            <w:r w:rsidRPr="00656C13">
              <w:rPr>
                <w:rFonts w:ascii="Arial" w:hAnsi="Arial" w:cs="Arial"/>
                <w:sz w:val="22"/>
                <w:szCs w:val="22"/>
                <w:lang w:val="lv-LV"/>
              </w:rPr>
              <w:t xml:space="preserve"> tūkst. eiro.</w:t>
            </w:r>
          </w:p>
          <w:p w14:paraId="121F789D" w14:textId="183FEEEB" w:rsidR="00CC454E" w:rsidRDefault="00CC454E" w:rsidP="00656C13">
            <w:pPr>
              <w:spacing w:before="120" w:after="120"/>
              <w:rPr>
                <w:rFonts w:ascii="Arial" w:hAnsi="Arial" w:cs="Arial"/>
                <w:sz w:val="22"/>
                <w:szCs w:val="22"/>
                <w:lang w:val="lv-LV"/>
              </w:rPr>
            </w:pPr>
            <w:r w:rsidRPr="00CC454E">
              <w:rPr>
                <w:rFonts w:ascii="Arial" w:hAnsi="Arial" w:cs="Arial"/>
                <w:b/>
                <w:bCs/>
                <w:sz w:val="22"/>
                <w:szCs w:val="22"/>
                <w:lang w:val="lv-LV"/>
              </w:rPr>
              <w:t>Avots</w:t>
            </w:r>
            <w:r>
              <w:rPr>
                <w:rFonts w:ascii="Arial" w:hAnsi="Arial" w:cs="Arial"/>
                <w:sz w:val="22"/>
                <w:szCs w:val="22"/>
                <w:lang w:val="lv-LV"/>
              </w:rPr>
              <w:t xml:space="preserve">: </w:t>
            </w:r>
            <w:proofErr w:type="spellStart"/>
            <w:r w:rsidRPr="00CC454E">
              <w:rPr>
                <w:rFonts w:ascii="Arial" w:hAnsi="Arial" w:cs="Arial"/>
                <w:iCs/>
                <w:sz w:val="22"/>
                <w:szCs w:val="22"/>
                <w:lang w:val="lv-LV"/>
              </w:rPr>
              <w:t>Eurostat</w:t>
            </w:r>
            <w:proofErr w:type="spellEnd"/>
            <w:r w:rsidRPr="00CC454E">
              <w:rPr>
                <w:rFonts w:ascii="Arial" w:hAnsi="Arial" w:cs="Arial"/>
                <w:iCs/>
                <w:sz w:val="22"/>
                <w:szCs w:val="22"/>
                <w:lang w:val="lv-LV"/>
              </w:rPr>
              <w:t xml:space="preserve"> </w:t>
            </w:r>
            <w:r w:rsidRPr="00656C13">
              <w:rPr>
                <w:rFonts w:ascii="Arial" w:hAnsi="Arial" w:cs="Arial"/>
                <w:sz w:val="22"/>
                <w:szCs w:val="22"/>
                <w:lang w:val="lv-LV"/>
              </w:rPr>
              <w:t xml:space="preserve">datubāze </w:t>
            </w:r>
            <w:hyperlink r:id="rId14" w:history="1">
              <w:proofErr w:type="spellStart"/>
              <w:r w:rsidRPr="00CC454E">
                <w:rPr>
                  <w:rStyle w:val="Hyperlink"/>
                  <w:rFonts w:ascii="Arial" w:hAnsi="Arial" w:cs="Arial"/>
                  <w:i/>
                  <w:sz w:val="22"/>
                  <w:szCs w:val="22"/>
                  <w:lang w:val="lv-LV"/>
                </w:rPr>
                <w:t>Main</w:t>
              </w:r>
              <w:proofErr w:type="spellEnd"/>
              <w:r w:rsidRPr="00CC454E">
                <w:rPr>
                  <w:rStyle w:val="Hyperlink"/>
                  <w:rFonts w:ascii="Arial" w:hAnsi="Arial" w:cs="Arial"/>
                  <w:i/>
                  <w:sz w:val="22"/>
                  <w:szCs w:val="22"/>
                  <w:lang w:val="lv-LV"/>
                </w:rPr>
                <w:t xml:space="preserve"> GDP </w:t>
              </w:r>
              <w:proofErr w:type="spellStart"/>
              <w:r w:rsidRPr="00CC454E">
                <w:rPr>
                  <w:rStyle w:val="Hyperlink"/>
                  <w:rFonts w:ascii="Arial" w:hAnsi="Arial" w:cs="Arial"/>
                  <w:i/>
                  <w:sz w:val="22"/>
                  <w:szCs w:val="22"/>
                  <w:lang w:val="lv-LV"/>
                </w:rPr>
                <w:t>aggregates</w:t>
              </w:r>
              <w:proofErr w:type="spellEnd"/>
              <w:r w:rsidRPr="00CC454E">
                <w:rPr>
                  <w:rStyle w:val="Hyperlink"/>
                  <w:rFonts w:ascii="Arial" w:hAnsi="Arial" w:cs="Arial"/>
                  <w:i/>
                  <w:sz w:val="22"/>
                  <w:szCs w:val="22"/>
                  <w:lang w:val="lv-LV"/>
                </w:rPr>
                <w:t xml:space="preserve"> per </w:t>
              </w:r>
              <w:proofErr w:type="spellStart"/>
              <w:r w:rsidRPr="00CC454E">
                <w:rPr>
                  <w:rStyle w:val="Hyperlink"/>
                  <w:rFonts w:ascii="Arial" w:hAnsi="Arial" w:cs="Arial"/>
                  <w:i/>
                  <w:sz w:val="22"/>
                  <w:szCs w:val="22"/>
                  <w:lang w:val="lv-LV"/>
                </w:rPr>
                <w:t>capita</w:t>
              </w:r>
              <w:proofErr w:type="spellEnd"/>
            </w:hyperlink>
          </w:p>
        </w:tc>
      </w:tr>
    </w:tbl>
    <w:p w14:paraId="1D303779" w14:textId="77777777" w:rsidR="00CC454E" w:rsidRDefault="00CC454E" w:rsidP="00656C13">
      <w:pPr>
        <w:spacing w:before="120" w:after="120"/>
        <w:rPr>
          <w:rFonts w:ascii="Arial" w:hAnsi="Arial" w:cs="Arial"/>
          <w:sz w:val="22"/>
          <w:szCs w:val="22"/>
          <w:lang w:val="lv-LV"/>
        </w:rPr>
      </w:pPr>
    </w:p>
    <w:p w14:paraId="4AD45D67" w14:textId="14AD9DBB" w:rsidR="003A5F7E" w:rsidRPr="00656C13" w:rsidRDefault="00CC454E" w:rsidP="00656C13">
      <w:pPr>
        <w:spacing w:before="120" w:after="120"/>
        <w:rPr>
          <w:rFonts w:ascii="Arial" w:hAnsi="Arial" w:cs="Arial"/>
          <w:sz w:val="22"/>
          <w:szCs w:val="22"/>
          <w:lang w:val="lv-LV"/>
        </w:rPr>
      </w:pPr>
      <w:r>
        <w:rPr>
          <w:noProof/>
        </w:rPr>
        <w:lastRenderedPageBreak/>
        <w:drawing>
          <wp:inline distT="0" distB="0" distL="0" distR="0" wp14:anchorId="6388CD7F" wp14:editId="4E4B7A8A">
            <wp:extent cx="4851400" cy="5546726"/>
            <wp:effectExtent l="0" t="0" r="6350" b="15875"/>
            <wp:docPr id="1" name="Chart 1">
              <a:extLst xmlns:a="http://schemas.openxmlformats.org/drawingml/2006/main">
                <a:ext uri="{FF2B5EF4-FFF2-40B4-BE49-F238E27FC236}">
                  <a16:creationId xmlns:a16="http://schemas.microsoft.com/office/drawing/2014/main" id="{71B9D9D7-7742-450E-8D3F-11C6D7D2E9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3A5F7E" w:rsidRPr="00656C13">
        <w:rPr>
          <w:rFonts w:ascii="Arial" w:hAnsi="Arial" w:cs="Arial"/>
          <w:sz w:val="22"/>
          <w:szCs w:val="22"/>
          <w:lang w:val="lv-LV"/>
        </w:rPr>
        <w:br w:type="page"/>
      </w:r>
    </w:p>
    <w:tbl>
      <w:tblPr>
        <w:tblStyle w:val="TableGrid"/>
        <w:tblW w:w="0" w:type="auto"/>
        <w:tblLook w:val="04A0" w:firstRow="1" w:lastRow="0" w:firstColumn="1" w:lastColumn="0" w:noHBand="0" w:noVBand="1"/>
      </w:tblPr>
      <w:tblGrid>
        <w:gridCol w:w="4106"/>
        <w:gridCol w:w="5382"/>
      </w:tblGrid>
      <w:tr w:rsidR="00F67396" w14:paraId="3E9FB51A" w14:textId="77777777" w:rsidTr="0002722A">
        <w:tc>
          <w:tcPr>
            <w:tcW w:w="4106" w:type="dxa"/>
          </w:tcPr>
          <w:p w14:paraId="527137E1" w14:textId="0BE29948" w:rsidR="00AA2B4C" w:rsidRDefault="00F67396" w:rsidP="00656C13">
            <w:pPr>
              <w:spacing w:before="120" w:after="120"/>
              <w:rPr>
                <w:rFonts w:ascii="Arial" w:hAnsi="Arial" w:cs="Arial"/>
                <w:sz w:val="22"/>
                <w:szCs w:val="22"/>
                <w:lang w:val="lv-LV"/>
              </w:rPr>
            </w:pPr>
            <w:r>
              <w:rPr>
                <w:rFonts w:ascii="Arial" w:hAnsi="Arial" w:cs="Arial"/>
                <w:noProof/>
                <w:sz w:val="22"/>
                <w:szCs w:val="22"/>
                <w:lang w:val="lv-LV"/>
              </w:rPr>
              <w:lastRenderedPageBreak/>
              <w:drawing>
                <wp:inline distT="0" distB="0" distL="0" distR="0" wp14:anchorId="27706CAE" wp14:editId="1AFE1FFC">
                  <wp:extent cx="2408582" cy="14573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7568" cy="1474863"/>
                          </a:xfrm>
                          <a:prstGeom prst="rect">
                            <a:avLst/>
                          </a:prstGeom>
                          <a:noFill/>
                          <a:ln>
                            <a:noFill/>
                          </a:ln>
                        </pic:spPr>
                      </pic:pic>
                    </a:graphicData>
                  </a:graphic>
                </wp:inline>
              </w:drawing>
            </w:r>
          </w:p>
        </w:tc>
        <w:tc>
          <w:tcPr>
            <w:tcW w:w="5382" w:type="dxa"/>
          </w:tcPr>
          <w:p w14:paraId="2AAFB7EC" w14:textId="4A3A49F4" w:rsidR="00AA2B4C" w:rsidRPr="00F67396" w:rsidRDefault="00AA2B4C" w:rsidP="00AA2B4C">
            <w:pPr>
              <w:spacing w:before="120" w:after="120"/>
              <w:rPr>
                <w:rFonts w:ascii="Arial" w:hAnsi="Arial" w:cs="Arial"/>
                <w:sz w:val="20"/>
                <w:szCs w:val="20"/>
                <w:lang w:val="lv-LV"/>
              </w:rPr>
            </w:pPr>
            <w:r w:rsidRPr="00F67396">
              <w:rPr>
                <w:rFonts w:ascii="Arial" w:hAnsi="Arial" w:cs="Arial"/>
                <w:sz w:val="20"/>
                <w:szCs w:val="20"/>
                <w:lang w:val="lv-LV"/>
              </w:rPr>
              <w:t xml:space="preserve">Lai </w:t>
            </w:r>
            <w:commentRangeStart w:id="0"/>
            <w:r w:rsidRPr="00F67396">
              <w:rPr>
                <w:rFonts w:ascii="Arial" w:hAnsi="Arial" w:cs="Arial"/>
                <w:sz w:val="20"/>
                <w:szCs w:val="20"/>
                <w:lang w:val="lv-LV"/>
              </w:rPr>
              <w:t xml:space="preserve">salīdzinātu dažādu valstu iedzīvotāju </w:t>
            </w:r>
            <w:commentRangeEnd w:id="0"/>
            <w:r w:rsidR="00F67396" w:rsidRPr="00F67396">
              <w:rPr>
                <w:rStyle w:val="CommentReference"/>
                <w:sz w:val="14"/>
                <w:szCs w:val="14"/>
              </w:rPr>
              <w:commentReference w:id="0"/>
            </w:r>
            <w:r w:rsidRPr="00F67396">
              <w:rPr>
                <w:rFonts w:ascii="Arial" w:hAnsi="Arial" w:cs="Arial"/>
                <w:sz w:val="20"/>
                <w:szCs w:val="20"/>
                <w:lang w:val="lv-LV"/>
              </w:rPr>
              <w:t>reālo labklājības līmeni, būtiski ir novērst cenu līmeņu atšķirības, tāpēc IKP uz vienu iedzīvotāju izsaka mākslīgā valūtā, piemēram, Eiropas Savienībā tiek izmantotas pirktspējas paritātes, lai izteiktu IKP pēc pirktspējas līmeņa. IKP uz vienu iedzīvotāju pēc pirktspējas līmeņa (PSL) izteikts kā indekss, kur ES-2</w:t>
            </w:r>
            <w:r w:rsidR="00F67396" w:rsidRPr="00F67396">
              <w:rPr>
                <w:rFonts w:ascii="Arial" w:hAnsi="Arial" w:cs="Arial"/>
                <w:sz w:val="20"/>
                <w:szCs w:val="20"/>
                <w:lang w:val="lv-LV"/>
              </w:rPr>
              <w:t>7</w:t>
            </w:r>
            <w:r w:rsidRPr="00F67396">
              <w:rPr>
                <w:rFonts w:ascii="Arial" w:hAnsi="Arial" w:cs="Arial"/>
                <w:sz w:val="20"/>
                <w:szCs w:val="20"/>
                <w:lang w:val="lv-LV"/>
              </w:rPr>
              <w:t>=100. Ja valsts indekss pārsniedz 100, tad valsts IKP uz vienu iedzīvotāju ir lielāks nekā vidēji ES-2</w:t>
            </w:r>
            <w:r w:rsidR="00F67396" w:rsidRPr="00F67396">
              <w:rPr>
                <w:rFonts w:ascii="Arial" w:hAnsi="Arial" w:cs="Arial"/>
                <w:sz w:val="20"/>
                <w:szCs w:val="20"/>
                <w:lang w:val="lv-LV"/>
              </w:rPr>
              <w:t>7</w:t>
            </w:r>
            <w:r w:rsidRPr="00F67396">
              <w:rPr>
                <w:rFonts w:ascii="Arial" w:hAnsi="Arial" w:cs="Arial"/>
                <w:sz w:val="20"/>
                <w:szCs w:val="20"/>
                <w:lang w:val="lv-LV"/>
              </w:rPr>
              <w:t xml:space="preserve">. Indekss aprēķināts no pamatdatiem, kas izteikti PSL, t.i., mākslīgā kopējā valūtas vienībā, kas ļauj likvidēt cenu atšķirības dalībvalstīs. </w:t>
            </w:r>
          </w:p>
          <w:p w14:paraId="322F9C8C" w14:textId="5AD7761C" w:rsidR="00AA2B4C" w:rsidRPr="00F67396" w:rsidRDefault="00AA2B4C" w:rsidP="00AA2B4C">
            <w:pPr>
              <w:spacing w:before="120" w:after="120"/>
              <w:rPr>
                <w:rFonts w:ascii="Arial" w:hAnsi="Arial" w:cs="Arial"/>
                <w:sz w:val="20"/>
                <w:szCs w:val="20"/>
                <w:lang w:val="lv-LV"/>
              </w:rPr>
            </w:pPr>
            <w:r w:rsidRPr="00F67396">
              <w:rPr>
                <w:rFonts w:ascii="Arial" w:hAnsi="Arial" w:cs="Arial"/>
                <w:sz w:val="20"/>
                <w:szCs w:val="20"/>
                <w:lang w:val="lv-LV"/>
              </w:rPr>
              <w:t>Latvijā IKP pēc pirktspējas līmeņa 20</w:t>
            </w:r>
            <w:r w:rsidR="00F67396" w:rsidRPr="00F67396">
              <w:rPr>
                <w:rFonts w:ascii="Arial" w:hAnsi="Arial" w:cs="Arial"/>
                <w:sz w:val="20"/>
                <w:szCs w:val="20"/>
                <w:lang w:val="lv-LV"/>
              </w:rPr>
              <w:t>20</w:t>
            </w:r>
            <w:r w:rsidRPr="00F67396">
              <w:rPr>
                <w:rFonts w:ascii="Arial" w:hAnsi="Arial" w:cs="Arial"/>
                <w:sz w:val="20"/>
                <w:szCs w:val="20"/>
                <w:lang w:val="lv-LV"/>
              </w:rPr>
              <w:t xml:space="preserve">. gadā bija </w:t>
            </w:r>
            <w:r w:rsidR="00F67396" w:rsidRPr="00F67396">
              <w:rPr>
                <w:rFonts w:ascii="Arial" w:hAnsi="Arial" w:cs="Arial"/>
                <w:sz w:val="20"/>
                <w:szCs w:val="20"/>
                <w:lang w:val="lv-LV"/>
              </w:rPr>
              <w:t>72</w:t>
            </w:r>
            <w:r w:rsidRPr="00F67396">
              <w:rPr>
                <w:rFonts w:ascii="Arial" w:hAnsi="Arial" w:cs="Arial"/>
                <w:sz w:val="20"/>
                <w:szCs w:val="20"/>
                <w:lang w:val="lv-LV"/>
              </w:rPr>
              <w:t xml:space="preserve"> % no ES vidējā, un tas bija </w:t>
            </w:r>
            <w:r w:rsidR="00F67396" w:rsidRPr="00F67396">
              <w:rPr>
                <w:rFonts w:ascii="Arial" w:hAnsi="Arial" w:cs="Arial"/>
                <w:sz w:val="20"/>
                <w:szCs w:val="20"/>
                <w:lang w:val="lv-LV"/>
              </w:rPr>
              <w:t>sestais</w:t>
            </w:r>
            <w:r w:rsidRPr="00F67396">
              <w:rPr>
                <w:rFonts w:ascii="Arial" w:hAnsi="Arial" w:cs="Arial"/>
                <w:sz w:val="20"/>
                <w:szCs w:val="20"/>
                <w:lang w:val="lv-LV"/>
              </w:rPr>
              <w:t xml:space="preserve"> zemākais rādītājs no visām ES dalībvalstīm. Zemākais IKP uz vienu iedzīvotāju pēc pirktspējas līmeņa bija ES jaunākajās dalībvalstīs: Bulgārijā (</w:t>
            </w:r>
            <w:r w:rsidR="00F67396" w:rsidRPr="00F67396">
              <w:rPr>
                <w:rFonts w:ascii="Arial" w:hAnsi="Arial" w:cs="Arial"/>
                <w:sz w:val="20"/>
                <w:szCs w:val="20"/>
                <w:lang w:val="lv-LV"/>
              </w:rPr>
              <w:t>55</w:t>
            </w:r>
            <w:r w:rsidRPr="00F67396">
              <w:rPr>
                <w:rFonts w:ascii="Arial" w:hAnsi="Arial" w:cs="Arial"/>
                <w:sz w:val="20"/>
                <w:szCs w:val="20"/>
                <w:lang w:val="lv-LV"/>
              </w:rPr>
              <w:t xml:space="preserve"> %), </w:t>
            </w:r>
            <w:r w:rsidR="00F67396" w:rsidRPr="00F67396">
              <w:rPr>
                <w:rFonts w:ascii="Arial" w:hAnsi="Arial" w:cs="Arial"/>
                <w:sz w:val="20"/>
                <w:szCs w:val="20"/>
                <w:lang w:val="lv-LV"/>
              </w:rPr>
              <w:t xml:space="preserve">Grieķijā (64%), </w:t>
            </w:r>
            <w:r w:rsidRPr="00F67396">
              <w:rPr>
                <w:rFonts w:ascii="Arial" w:hAnsi="Arial" w:cs="Arial"/>
                <w:sz w:val="20"/>
                <w:szCs w:val="20"/>
                <w:lang w:val="lv-LV"/>
              </w:rPr>
              <w:t>Horvātijā (6</w:t>
            </w:r>
            <w:r w:rsidR="00F67396" w:rsidRPr="00F67396">
              <w:rPr>
                <w:rFonts w:ascii="Arial" w:hAnsi="Arial" w:cs="Arial"/>
                <w:sz w:val="20"/>
                <w:szCs w:val="20"/>
                <w:lang w:val="lv-LV"/>
              </w:rPr>
              <w:t>4</w:t>
            </w:r>
            <w:r w:rsidRPr="00F67396">
              <w:rPr>
                <w:rFonts w:ascii="Arial" w:hAnsi="Arial" w:cs="Arial"/>
                <w:sz w:val="20"/>
                <w:szCs w:val="20"/>
                <w:lang w:val="lv-LV"/>
              </w:rPr>
              <w:t xml:space="preserve"> %) un </w:t>
            </w:r>
            <w:r w:rsidR="00F67396" w:rsidRPr="00F67396">
              <w:rPr>
                <w:rFonts w:ascii="Arial" w:hAnsi="Arial" w:cs="Arial"/>
                <w:sz w:val="20"/>
                <w:szCs w:val="20"/>
                <w:lang w:val="lv-LV"/>
              </w:rPr>
              <w:t>Slovākijā</w:t>
            </w:r>
            <w:r w:rsidRPr="00F67396">
              <w:rPr>
                <w:rFonts w:ascii="Arial" w:hAnsi="Arial" w:cs="Arial"/>
                <w:sz w:val="20"/>
                <w:szCs w:val="20"/>
                <w:lang w:val="lv-LV"/>
              </w:rPr>
              <w:t xml:space="preserve"> (</w:t>
            </w:r>
            <w:r w:rsidR="00F67396" w:rsidRPr="00F67396">
              <w:rPr>
                <w:rFonts w:ascii="Arial" w:hAnsi="Arial" w:cs="Arial"/>
                <w:sz w:val="20"/>
                <w:szCs w:val="20"/>
                <w:lang w:val="lv-LV"/>
              </w:rPr>
              <w:t>71</w:t>
            </w:r>
            <w:r w:rsidRPr="00F67396">
              <w:rPr>
                <w:rFonts w:ascii="Arial" w:hAnsi="Arial" w:cs="Arial"/>
                <w:sz w:val="20"/>
                <w:szCs w:val="20"/>
                <w:lang w:val="lv-LV"/>
              </w:rPr>
              <w:t> %).</w:t>
            </w:r>
          </w:p>
          <w:p w14:paraId="144FCD33" w14:textId="6F8A405E" w:rsidR="0002722A" w:rsidRPr="00F67396" w:rsidRDefault="0002722A" w:rsidP="0002722A">
            <w:pPr>
              <w:spacing w:before="120" w:after="120"/>
              <w:rPr>
                <w:rFonts w:ascii="Arial" w:hAnsi="Arial" w:cs="Arial"/>
                <w:sz w:val="20"/>
                <w:szCs w:val="20"/>
                <w:lang w:val="lv-LV"/>
              </w:rPr>
            </w:pPr>
            <w:r w:rsidRPr="00F67396">
              <w:rPr>
                <w:rFonts w:ascii="Arial" w:hAnsi="Arial" w:cs="Arial"/>
                <w:sz w:val="20"/>
                <w:szCs w:val="20"/>
                <w:lang w:val="lv-LV"/>
              </w:rPr>
              <w:t>Ja salīdzina IKP pēc pirktspējas līmeņa ES-2</w:t>
            </w:r>
            <w:r w:rsidR="00F67396" w:rsidRPr="00F67396">
              <w:rPr>
                <w:rFonts w:ascii="Arial" w:hAnsi="Arial" w:cs="Arial"/>
                <w:sz w:val="20"/>
                <w:szCs w:val="20"/>
                <w:lang w:val="lv-LV"/>
              </w:rPr>
              <w:t>7</w:t>
            </w:r>
            <w:r w:rsidRPr="00F67396">
              <w:rPr>
                <w:rFonts w:ascii="Arial" w:hAnsi="Arial" w:cs="Arial"/>
                <w:sz w:val="20"/>
                <w:szCs w:val="20"/>
                <w:lang w:val="lv-LV"/>
              </w:rPr>
              <w:t xml:space="preserve"> vidēji un dažādās ES dalībvalstīs, tad jāsecina, ka Luksemburga un Īrija izceļas, attiecīgi Luksemburgas rādītājs bija 2</w:t>
            </w:r>
            <w:r w:rsidR="00F67396" w:rsidRPr="00F67396">
              <w:rPr>
                <w:rFonts w:ascii="Arial" w:hAnsi="Arial" w:cs="Arial"/>
                <w:sz w:val="20"/>
                <w:szCs w:val="20"/>
                <w:lang w:val="lv-LV"/>
              </w:rPr>
              <w:t>66</w:t>
            </w:r>
            <w:r w:rsidRPr="00F67396">
              <w:rPr>
                <w:rFonts w:ascii="Arial" w:hAnsi="Arial" w:cs="Arial"/>
                <w:sz w:val="20"/>
                <w:szCs w:val="20"/>
                <w:lang w:val="lv-LV"/>
              </w:rPr>
              <w:t>%, Īrijas –</w:t>
            </w:r>
            <w:r w:rsidR="00F67396" w:rsidRPr="00F67396">
              <w:rPr>
                <w:rFonts w:ascii="Arial" w:hAnsi="Arial" w:cs="Arial"/>
                <w:sz w:val="20"/>
                <w:szCs w:val="20"/>
                <w:lang w:val="lv-LV"/>
              </w:rPr>
              <w:t>214</w:t>
            </w:r>
            <w:r w:rsidRPr="00F67396">
              <w:rPr>
                <w:rFonts w:ascii="Arial" w:hAnsi="Arial" w:cs="Arial"/>
                <w:sz w:val="20"/>
                <w:szCs w:val="20"/>
                <w:lang w:val="lv-LV"/>
              </w:rPr>
              <w:t xml:space="preserve"> %, kas bija krietni augstāks rādītājs nekā pārējās valstīs. To lielā mērā nosaka šo valsts ekonomikas īpatnības. Luksemburgā strādā daudz citu Eiropas Savienības dalībvalstu iedzīvotāji, kas sniedz ieguldījumu IKP veidošanā, taču viņu pienesums netiek ņemts vērā, rēķinot IKP uz vienu iedzīvotāju. Savukārt Īrijas augstais IKP rādītājs uz vienu iedzīvotāju saistāms ar to, ka Īrijā darbojas vairākas daudznacionālas korporācijas, kas pārvietojušas savu saimniecisko darbību, precīzāk, šo uzņēmumu pamatā esošo intelektuālo īpašumu, uz Īriju. </w:t>
            </w:r>
          </w:p>
          <w:p w14:paraId="5C79903F" w14:textId="2A87DEE8" w:rsidR="00AA2B4C" w:rsidRDefault="00AA2B4C" w:rsidP="00656C13">
            <w:pPr>
              <w:spacing w:before="120" w:after="120"/>
              <w:rPr>
                <w:rFonts w:ascii="Arial" w:hAnsi="Arial" w:cs="Arial"/>
                <w:sz w:val="22"/>
                <w:szCs w:val="22"/>
                <w:lang w:val="lv-LV"/>
              </w:rPr>
            </w:pPr>
            <w:r w:rsidRPr="00AA2B4C">
              <w:rPr>
                <w:rFonts w:ascii="Arial" w:hAnsi="Arial" w:cs="Arial"/>
                <w:b/>
                <w:bCs/>
                <w:sz w:val="22"/>
                <w:szCs w:val="22"/>
                <w:lang w:val="lv-LV"/>
              </w:rPr>
              <w:t>Avots</w:t>
            </w:r>
            <w:r>
              <w:rPr>
                <w:rFonts w:ascii="Arial" w:hAnsi="Arial" w:cs="Arial"/>
                <w:sz w:val="22"/>
                <w:szCs w:val="22"/>
                <w:lang w:val="lv-LV"/>
              </w:rPr>
              <w:t xml:space="preserve">: </w:t>
            </w:r>
            <w:proofErr w:type="spellStart"/>
            <w:r w:rsidRPr="00AA2B4C">
              <w:rPr>
                <w:rFonts w:ascii="Arial" w:hAnsi="Arial" w:cs="Arial"/>
                <w:iCs/>
                <w:sz w:val="22"/>
                <w:szCs w:val="22"/>
                <w:lang w:val="lv-LV"/>
              </w:rPr>
              <w:t>Eurostat</w:t>
            </w:r>
            <w:proofErr w:type="spellEnd"/>
            <w:r w:rsidRPr="00AA2B4C">
              <w:rPr>
                <w:rFonts w:ascii="Arial" w:hAnsi="Arial" w:cs="Arial"/>
                <w:iCs/>
                <w:sz w:val="22"/>
                <w:szCs w:val="22"/>
                <w:lang w:val="lv-LV"/>
              </w:rPr>
              <w:t xml:space="preserve"> </w:t>
            </w:r>
            <w:r w:rsidRPr="00656C13">
              <w:rPr>
                <w:rFonts w:ascii="Arial" w:hAnsi="Arial" w:cs="Arial"/>
                <w:sz w:val="22"/>
                <w:szCs w:val="22"/>
                <w:lang w:val="lv-LV"/>
              </w:rPr>
              <w:t>datubāze</w:t>
            </w:r>
            <w:r>
              <w:rPr>
                <w:rFonts w:ascii="Arial" w:hAnsi="Arial" w:cs="Arial"/>
                <w:sz w:val="22"/>
                <w:szCs w:val="22"/>
                <w:lang w:val="lv-LV"/>
              </w:rPr>
              <w:t xml:space="preserve"> </w:t>
            </w:r>
            <w:hyperlink r:id="rId21" w:history="1">
              <w:r w:rsidRPr="001A5AA3">
                <w:rPr>
                  <w:rStyle w:val="Hyperlink"/>
                  <w:rFonts w:ascii="Arial" w:hAnsi="Arial" w:cs="Arial"/>
                  <w:i/>
                  <w:sz w:val="22"/>
                  <w:szCs w:val="22"/>
                  <w:lang w:val="lv-LV"/>
                </w:rPr>
                <w:t xml:space="preserve">GDP per </w:t>
              </w:r>
              <w:proofErr w:type="spellStart"/>
              <w:r w:rsidRPr="001A5AA3">
                <w:rPr>
                  <w:rStyle w:val="Hyperlink"/>
                  <w:rFonts w:ascii="Arial" w:hAnsi="Arial" w:cs="Arial"/>
                  <w:i/>
                  <w:sz w:val="22"/>
                  <w:szCs w:val="22"/>
                  <w:lang w:val="lv-LV"/>
                </w:rPr>
                <w:t>capita</w:t>
              </w:r>
              <w:proofErr w:type="spellEnd"/>
              <w:r w:rsidRPr="001A5AA3">
                <w:rPr>
                  <w:rStyle w:val="Hyperlink"/>
                  <w:rFonts w:ascii="Arial" w:hAnsi="Arial" w:cs="Arial"/>
                  <w:i/>
                  <w:sz w:val="22"/>
                  <w:szCs w:val="22"/>
                  <w:lang w:val="lv-LV"/>
                </w:rPr>
                <w:t xml:space="preserve"> </w:t>
              </w:r>
              <w:proofErr w:type="spellStart"/>
              <w:r w:rsidRPr="001A5AA3">
                <w:rPr>
                  <w:rStyle w:val="Hyperlink"/>
                  <w:rFonts w:ascii="Arial" w:hAnsi="Arial" w:cs="Arial"/>
                  <w:i/>
                  <w:sz w:val="22"/>
                  <w:szCs w:val="22"/>
                  <w:lang w:val="lv-LV"/>
                </w:rPr>
                <w:t>in</w:t>
              </w:r>
              <w:proofErr w:type="spellEnd"/>
              <w:r w:rsidRPr="001A5AA3">
                <w:rPr>
                  <w:rStyle w:val="Hyperlink"/>
                  <w:rFonts w:ascii="Arial" w:hAnsi="Arial" w:cs="Arial"/>
                  <w:i/>
                  <w:sz w:val="22"/>
                  <w:szCs w:val="22"/>
                  <w:lang w:val="lv-LV"/>
                </w:rPr>
                <w:t xml:space="preserve"> PPS</w:t>
              </w:r>
            </w:hyperlink>
          </w:p>
        </w:tc>
      </w:tr>
    </w:tbl>
    <w:p w14:paraId="45FB0C40" w14:textId="59780CC6" w:rsidR="009D2F44" w:rsidRPr="00656C13" w:rsidRDefault="009D2F44" w:rsidP="00656C13">
      <w:pPr>
        <w:spacing w:before="120" w:after="120"/>
        <w:rPr>
          <w:rFonts w:ascii="Arial" w:hAnsi="Arial" w:cs="Arial"/>
          <w:sz w:val="22"/>
          <w:szCs w:val="22"/>
          <w:lang w:val="lv-LV"/>
        </w:rPr>
      </w:pPr>
    </w:p>
    <w:p w14:paraId="0DA7419F" w14:textId="2F9A42F0" w:rsidR="004120A6" w:rsidRPr="00656C13" w:rsidRDefault="0002722A" w:rsidP="00656C13">
      <w:pPr>
        <w:spacing w:before="120" w:after="120"/>
        <w:jc w:val="center"/>
        <w:rPr>
          <w:rFonts w:ascii="Arial" w:hAnsi="Arial" w:cs="Arial"/>
          <w:sz w:val="22"/>
          <w:szCs w:val="22"/>
          <w:highlight w:val="yellow"/>
          <w:lang w:val="lv-LV"/>
        </w:rPr>
      </w:pPr>
      <w:r>
        <w:rPr>
          <w:noProof/>
        </w:rPr>
        <w:drawing>
          <wp:inline distT="0" distB="0" distL="0" distR="0" wp14:anchorId="4C06B872" wp14:editId="03DE5BD0">
            <wp:extent cx="6031230" cy="2545715"/>
            <wp:effectExtent l="0" t="0" r="7620" b="6985"/>
            <wp:docPr id="3" name="Chart 3">
              <a:extLst xmlns:a="http://schemas.openxmlformats.org/drawingml/2006/main">
                <a:ext uri="{FF2B5EF4-FFF2-40B4-BE49-F238E27FC236}">
                  <a16:creationId xmlns:a16="http://schemas.microsoft.com/office/drawing/2014/main" id="{4C92E071-05F7-474A-BD99-E5D8238FF6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sectPr w:rsidR="004120A6" w:rsidRPr="00656C13" w:rsidSect="009350D3">
      <w:footerReference w:type="default" r:id="rId23"/>
      <w:footerReference w:type="first" r:id="rId24"/>
      <w:pgSz w:w="11907" w:h="16840" w:code="9"/>
      <w:pgMar w:top="1134" w:right="1275" w:bottom="1134" w:left="1134" w:header="680" w:footer="851"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Ieva Urbane" w:date="2021-08-17T16:51:00Z" w:initials="IU">
    <w:p w14:paraId="5D2FB5F5" w14:textId="05DAEDE6" w:rsidR="00F67396" w:rsidRDefault="00F67396">
      <w:pPr>
        <w:pStyle w:val="CommentText"/>
      </w:pPr>
      <w:r>
        <w:rPr>
          <w:rStyle w:val="CommentReference"/>
        </w:rPr>
        <w:annotationRef/>
      </w:r>
      <w:proofErr w:type="spellStart"/>
      <w:r>
        <w:t>Šis</w:t>
      </w:r>
      <w:proofErr w:type="spellEnd"/>
      <w:r>
        <w:t xml:space="preserve"> slaids (+info un </w:t>
      </w:r>
      <w:proofErr w:type="spellStart"/>
      <w:r>
        <w:t>grafiks</w:t>
      </w:r>
      <w:proofErr w:type="spellEnd"/>
      <w:r>
        <w:t xml:space="preserve">) </w:t>
      </w:r>
      <w:proofErr w:type="spellStart"/>
      <w:r>
        <w:t>diezgan</w:t>
      </w:r>
      <w:proofErr w:type="spellEnd"/>
      <w:r>
        <w:t xml:space="preserve"> </w:t>
      </w:r>
      <w:proofErr w:type="spellStart"/>
      <w:r>
        <w:t>ļoti</w:t>
      </w:r>
      <w:proofErr w:type="spellEnd"/>
      <w:r>
        <w:t xml:space="preserve"> </w:t>
      </w:r>
      <w:proofErr w:type="spellStart"/>
      <w:r>
        <w:t>atšķiras</w:t>
      </w:r>
      <w:proofErr w:type="spellEnd"/>
      <w:r>
        <w:t xml:space="preserve"> no </w:t>
      </w:r>
      <w:proofErr w:type="spellStart"/>
      <w:r>
        <w:t>iepriekšējā</w:t>
      </w:r>
      <w:proofErr w:type="spellEnd"/>
      <w:r>
        <w:t xml:space="preserve">. </w:t>
      </w:r>
      <w:proofErr w:type="spellStart"/>
      <w:r>
        <w:t>Būtu</w:t>
      </w:r>
      <w:proofErr w:type="spellEnd"/>
      <w:r>
        <w:t xml:space="preserve"> </w:t>
      </w:r>
      <w:proofErr w:type="spellStart"/>
      <w:r>
        <w:t>labi</w:t>
      </w:r>
      <w:proofErr w:type="spellEnd"/>
      <w:r>
        <w:t xml:space="preserve"> </w:t>
      </w:r>
      <w:proofErr w:type="spellStart"/>
      <w:r>
        <w:t>pārbaudīt</w:t>
      </w:r>
      <w:proofErr w:type="spellEnd"/>
      <w:r>
        <w:t xml:space="preserve">, </w:t>
      </w:r>
      <w:proofErr w:type="spellStart"/>
      <w:r>
        <w:t>vai</w:t>
      </w:r>
      <w:proofErr w:type="spellEnd"/>
      <w:r>
        <w:t xml:space="preserve"> </w:t>
      </w:r>
      <w:proofErr w:type="spellStart"/>
      <w:r>
        <w:t>esmu</w:t>
      </w:r>
      <w:proofErr w:type="spellEnd"/>
      <w:r>
        <w:t xml:space="preserve"> </w:t>
      </w:r>
      <w:proofErr w:type="spellStart"/>
      <w:r>
        <w:t>paņēmusi</w:t>
      </w:r>
      <w:proofErr w:type="spellEnd"/>
      <w:r>
        <w:t xml:space="preserve"> </w:t>
      </w:r>
      <w:proofErr w:type="spellStart"/>
      <w:r>
        <w:t>īsto</w:t>
      </w:r>
      <w:proofErr w:type="spellEnd"/>
      <w:r>
        <w:t xml:space="preserve"> </w:t>
      </w:r>
      <w:proofErr w:type="spellStart"/>
      <w:r>
        <w:t>datu</w:t>
      </w:r>
      <w:proofErr w:type="spellEnd"/>
      <w:r>
        <w:t xml:space="preserve"> </w:t>
      </w:r>
      <w:proofErr w:type="spellStart"/>
      <w:r>
        <w:t>bāzi</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2FB5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6774" w16cex:dateUtc="2021-08-17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2FB5F5" w16cid:durableId="24C667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95EDD" w14:textId="77777777" w:rsidR="008C56A6" w:rsidRDefault="008C56A6" w:rsidP="009350D3">
      <w:r>
        <w:separator/>
      </w:r>
    </w:p>
  </w:endnote>
  <w:endnote w:type="continuationSeparator" w:id="0">
    <w:p w14:paraId="7201B6F8" w14:textId="77777777" w:rsidR="008C56A6" w:rsidRDefault="008C56A6" w:rsidP="0093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1167E" w14:textId="533C48CD" w:rsidR="009350D3" w:rsidRPr="009350D3" w:rsidRDefault="008C56A6">
    <w:pPr>
      <w:pStyle w:val="Footer"/>
      <w:rPr>
        <w:lang w:val="lv-LV"/>
      </w:rPr>
    </w:pPr>
    <w:hyperlink r:id="rId1" w:history="1">
      <w:r w:rsidR="009350D3" w:rsidRPr="0062755C">
        <w:rPr>
          <w:rStyle w:val="Hyperlink"/>
          <w:lang w:val="lv-LV"/>
        </w:rPr>
        <w:t>www.csb.gov.lv/skoleniem</w:t>
      </w:r>
    </w:hyperlink>
    <w:r w:rsidR="009350D3">
      <w:rPr>
        <w:lang w:val="lv-LV"/>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placeholder>
        <w:docPart w:val="566DCD130F7E4D15830AF928BB19B5B7"/>
      </w:placeholder>
      <w:temporary/>
      <w:showingPlcHdr/>
      <w15:appearance w15:val="hidden"/>
    </w:sdtPr>
    <w:sdtEndPr/>
    <w:sdtContent>
      <w:p w14:paraId="21D6AF78" w14:textId="77777777" w:rsidR="009350D3" w:rsidRDefault="009350D3">
        <w:pPr>
          <w:pStyle w:val="Footer"/>
        </w:pPr>
        <w:r>
          <w:t>[Type here]</w:t>
        </w:r>
      </w:p>
    </w:sdtContent>
  </w:sdt>
  <w:p w14:paraId="0825811B" w14:textId="77777777" w:rsidR="009350D3" w:rsidRDefault="00935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581E8" w14:textId="77777777" w:rsidR="008C56A6" w:rsidRDefault="008C56A6" w:rsidP="009350D3">
      <w:r>
        <w:separator/>
      </w:r>
    </w:p>
  </w:footnote>
  <w:footnote w:type="continuationSeparator" w:id="0">
    <w:p w14:paraId="48DA9D58" w14:textId="77777777" w:rsidR="008C56A6" w:rsidRDefault="008C56A6" w:rsidP="009350D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eva Urbane">
    <w15:presenceInfo w15:providerId="AD" w15:userId="S::ieva.urbane@csp.gov.lv::7d8bfac2-ef19-4603-8dd8-82fa421354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39"/>
    <w:rsid w:val="000037DE"/>
    <w:rsid w:val="00004CBD"/>
    <w:rsid w:val="00007033"/>
    <w:rsid w:val="000151BA"/>
    <w:rsid w:val="0002722A"/>
    <w:rsid w:val="00073D97"/>
    <w:rsid w:val="00091E55"/>
    <w:rsid w:val="000A0150"/>
    <w:rsid w:val="000B36FC"/>
    <w:rsid w:val="000E5465"/>
    <w:rsid w:val="00103FAF"/>
    <w:rsid w:val="00116E48"/>
    <w:rsid w:val="001267CE"/>
    <w:rsid w:val="001402A0"/>
    <w:rsid w:val="001406B3"/>
    <w:rsid w:val="00152D76"/>
    <w:rsid w:val="0016427F"/>
    <w:rsid w:val="00166ED4"/>
    <w:rsid w:val="00173C56"/>
    <w:rsid w:val="001A5AA3"/>
    <w:rsid w:val="001B5C84"/>
    <w:rsid w:val="001C15E5"/>
    <w:rsid w:val="001C64B8"/>
    <w:rsid w:val="001C6833"/>
    <w:rsid w:val="001E1D4F"/>
    <w:rsid w:val="001E4880"/>
    <w:rsid w:val="001F2ADF"/>
    <w:rsid w:val="001F5CDB"/>
    <w:rsid w:val="00200B35"/>
    <w:rsid w:val="002311CC"/>
    <w:rsid w:val="002378F3"/>
    <w:rsid w:val="0028010F"/>
    <w:rsid w:val="00287FE2"/>
    <w:rsid w:val="002A044F"/>
    <w:rsid w:val="002C475D"/>
    <w:rsid w:val="002D2B02"/>
    <w:rsid w:val="00324F8D"/>
    <w:rsid w:val="00333D8E"/>
    <w:rsid w:val="00373E24"/>
    <w:rsid w:val="003A5F7E"/>
    <w:rsid w:val="003B66D6"/>
    <w:rsid w:val="003D66FB"/>
    <w:rsid w:val="004024E0"/>
    <w:rsid w:val="004120A6"/>
    <w:rsid w:val="004129E8"/>
    <w:rsid w:val="0042030F"/>
    <w:rsid w:val="00430436"/>
    <w:rsid w:val="00475DA6"/>
    <w:rsid w:val="00486F87"/>
    <w:rsid w:val="004969E6"/>
    <w:rsid w:val="004A7316"/>
    <w:rsid w:val="004B068E"/>
    <w:rsid w:val="004B5A48"/>
    <w:rsid w:val="004D2E64"/>
    <w:rsid w:val="00502823"/>
    <w:rsid w:val="00504886"/>
    <w:rsid w:val="00552366"/>
    <w:rsid w:val="0056662D"/>
    <w:rsid w:val="005670E3"/>
    <w:rsid w:val="005C5D89"/>
    <w:rsid w:val="005F3DFE"/>
    <w:rsid w:val="005F463D"/>
    <w:rsid w:val="0060250A"/>
    <w:rsid w:val="006147B7"/>
    <w:rsid w:val="0063189E"/>
    <w:rsid w:val="006466A4"/>
    <w:rsid w:val="00656C13"/>
    <w:rsid w:val="00661A49"/>
    <w:rsid w:val="0066314B"/>
    <w:rsid w:val="00681BB3"/>
    <w:rsid w:val="006A77D9"/>
    <w:rsid w:val="006A77E1"/>
    <w:rsid w:val="006C0A2D"/>
    <w:rsid w:val="007034CA"/>
    <w:rsid w:val="00712C84"/>
    <w:rsid w:val="00717CBD"/>
    <w:rsid w:val="007236B9"/>
    <w:rsid w:val="007251DE"/>
    <w:rsid w:val="007568BD"/>
    <w:rsid w:val="007C6F15"/>
    <w:rsid w:val="007D391B"/>
    <w:rsid w:val="007F1C6B"/>
    <w:rsid w:val="007F2789"/>
    <w:rsid w:val="00824A49"/>
    <w:rsid w:val="00842F46"/>
    <w:rsid w:val="00844AFF"/>
    <w:rsid w:val="00865A99"/>
    <w:rsid w:val="008853F8"/>
    <w:rsid w:val="008B2639"/>
    <w:rsid w:val="008C56A6"/>
    <w:rsid w:val="008C6D0C"/>
    <w:rsid w:val="008D274A"/>
    <w:rsid w:val="008D5E26"/>
    <w:rsid w:val="008E29FC"/>
    <w:rsid w:val="00901FCC"/>
    <w:rsid w:val="00911469"/>
    <w:rsid w:val="00926891"/>
    <w:rsid w:val="009350D3"/>
    <w:rsid w:val="009474DD"/>
    <w:rsid w:val="00966690"/>
    <w:rsid w:val="009908B0"/>
    <w:rsid w:val="009A2E8A"/>
    <w:rsid w:val="009B1C6A"/>
    <w:rsid w:val="009B1D07"/>
    <w:rsid w:val="009B42C9"/>
    <w:rsid w:val="009D2F44"/>
    <w:rsid w:val="009E5158"/>
    <w:rsid w:val="009E5E96"/>
    <w:rsid w:val="00A12E58"/>
    <w:rsid w:val="00A25856"/>
    <w:rsid w:val="00A33B26"/>
    <w:rsid w:val="00A34F87"/>
    <w:rsid w:val="00A4345B"/>
    <w:rsid w:val="00A63C40"/>
    <w:rsid w:val="00A758C4"/>
    <w:rsid w:val="00A82B49"/>
    <w:rsid w:val="00AA2B4C"/>
    <w:rsid w:val="00AB79D3"/>
    <w:rsid w:val="00AD2DCA"/>
    <w:rsid w:val="00AD64BD"/>
    <w:rsid w:val="00AE3652"/>
    <w:rsid w:val="00AE7263"/>
    <w:rsid w:val="00AF6194"/>
    <w:rsid w:val="00B04740"/>
    <w:rsid w:val="00B11F4F"/>
    <w:rsid w:val="00B15C54"/>
    <w:rsid w:val="00B20A5C"/>
    <w:rsid w:val="00B41ADA"/>
    <w:rsid w:val="00B556DD"/>
    <w:rsid w:val="00B6091C"/>
    <w:rsid w:val="00B867D3"/>
    <w:rsid w:val="00BB363E"/>
    <w:rsid w:val="00BD2C0A"/>
    <w:rsid w:val="00BD3C2D"/>
    <w:rsid w:val="00C005F1"/>
    <w:rsid w:val="00C07964"/>
    <w:rsid w:val="00C643BF"/>
    <w:rsid w:val="00C919BA"/>
    <w:rsid w:val="00C92CAA"/>
    <w:rsid w:val="00CC454E"/>
    <w:rsid w:val="00CC7267"/>
    <w:rsid w:val="00CD3A1F"/>
    <w:rsid w:val="00CE2447"/>
    <w:rsid w:val="00D758B5"/>
    <w:rsid w:val="00D82CEE"/>
    <w:rsid w:val="00D952E2"/>
    <w:rsid w:val="00DF598A"/>
    <w:rsid w:val="00E0246A"/>
    <w:rsid w:val="00E0330A"/>
    <w:rsid w:val="00E2025A"/>
    <w:rsid w:val="00E2513A"/>
    <w:rsid w:val="00E37585"/>
    <w:rsid w:val="00E6236B"/>
    <w:rsid w:val="00E83579"/>
    <w:rsid w:val="00E9384D"/>
    <w:rsid w:val="00E954F0"/>
    <w:rsid w:val="00E959F6"/>
    <w:rsid w:val="00F05FED"/>
    <w:rsid w:val="00F33577"/>
    <w:rsid w:val="00F51181"/>
    <w:rsid w:val="00F67396"/>
    <w:rsid w:val="00F70356"/>
    <w:rsid w:val="00F829EB"/>
    <w:rsid w:val="00F907F8"/>
    <w:rsid w:val="00F92048"/>
    <w:rsid w:val="00FA0DAD"/>
    <w:rsid w:val="00FF7A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D5C58"/>
  <w15:docId w15:val="{E69811A0-9DA4-4B58-8551-A88A97F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639"/>
    <w:rPr>
      <w:sz w:val="24"/>
      <w:szCs w:val="24"/>
      <w:lang w:val="en-GB" w:eastAsia="en-US"/>
    </w:rPr>
  </w:style>
  <w:style w:type="paragraph" w:styleId="Heading1">
    <w:name w:val="heading 1"/>
    <w:basedOn w:val="Normal"/>
    <w:next w:val="Normal"/>
    <w:link w:val="Heading1Char"/>
    <w:qFormat/>
    <w:rsid w:val="001642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00B35"/>
    <w:rPr>
      <w:rFonts w:ascii="Tahoma" w:hAnsi="Tahoma" w:cs="Tahoma"/>
      <w:sz w:val="16"/>
      <w:szCs w:val="16"/>
    </w:rPr>
  </w:style>
  <w:style w:type="character" w:customStyle="1" w:styleId="BalloonTextChar">
    <w:name w:val="Balloon Text Char"/>
    <w:basedOn w:val="DefaultParagraphFont"/>
    <w:link w:val="BalloonText"/>
    <w:rsid w:val="00200B35"/>
    <w:rPr>
      <w:rFonts w:ascii="Tahoma" w:hAnsi="Tahoma" w:cs="Tahoma"/>
      <w:sz w:val="16"/>
      <w:szCs w:val="16"/>
      <w:lang w:val="en-GB" w:eastAsia="en-US"/>
    </w:rPr>
  </w:style>
  <w:style w:type="character" w:customStyle="1" w:styleId="Heading1Char">
    <w:name w:val="Heading 1 Char"/>
    <w:basedOn w:val="DefaultParagraphFont"/>
    <w:link w:val="Heading1"/>
    <w:rsid w:val="0016427F"/>
    <w:rPr>
      <w:rFonts w:asciiTheme="majorHAnsi" w:eastAsiaTheme="majorEastAsia" w:hAnsiTheme="majorHAnsi" w:cstheme="majorBidi"/>
      <w:color w:val="365F91" w:themeColor="accent1" w:themeShade="BF"/>
      <w:sz w:val="32"/>
      <w:szCs w:val="32"/>
      <w:lang w:val="en-GB" w:eastAsia="en-US"/>
    </w:rPr>
  </w:style>
  <w:style w:type="table" w:styleId="PlainTable3">
    <w:name w:val="Plain Table 3"/>
    <w:basedOn w:val="TableNormal"/>
    <w:uiPriority w:val="43"/>
    <w:rsid w:val="00A82B4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82B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568BD"/>
    <w:rPr>
      <w:color w:val="0000FF" w:themeColor="hyperlink"/>
      <w:u w:val="single"/>
    </w:rPr>
  </w:style>
  <w:style w:type="character" w:styleId="UnresolvedMention">
    <w:name w:val="Unresolved Mention"/>
    <w:basedOn w:val="DefaultParagraphFont"/>
    <w:uiPriority w:val="99"/>
    <w:semiHidden/>
    <w:unhideWhenUsed/>
    <w:rsid w:val="009E5158"/>
    <w:rPr>
      <w:color w:val="605E5C"/>
      <w:shd w:val="clear" w:color="auto" w:fill="E1DFDD"/>
    </w:rPr>
  </w:style>
  <w:style w:type="paragraph" w:styleId="Header">
    <w:name w:val="header"/>
    <w:basedOn w:val="Normal"/>
    <w:link w:val="HeaderChar"/>
    <w:unhideWhenUsed/>
    <w:rsid w:val="009350D3"/>
    <w:pPr>
      <w:tabs>
        <w:tab w:val="center" w:pos="4153"/>
        <w:tab w:val="right" w:pos="8306"/>
      </w:tabs>
    </w:pPr>
  </w:style>
  <w:style w:type="character" w:customStyle="1" w:styleId="HeaderChar">
    <w:name w:val="Header Char"/>
    <w:basedOn w:val="DefaultParagraphFont"/>
    <w:link w:val="Header"/>
    <w:rsid w:val="009350D3"/>
    <w:rPr>
      <w:sz w:val="24"/>
      <w:szCs w:val="24"/>
      <w:lang w:val="en-GB" w:eastAsia="en-US"/>
    </w:rPr>
  </w:style>
  <w:style w:type="paragraph" w:styleId="Footer">
    <w:name w:val="footer"/>
    <w:basedOn w:val="Normal"/>
    <w:link w:val="FooterChar"/>
    <w:uiPriority w:val="99"/>
    <w:unhideWhenUsed/>
    <w:rsid w:val="009350D3"/>
    <w:pPr>
      <w:tabs>
        <w:tab w:val="center" w:pos="4153"/>
        <w:tab w:val="right" w:pos="8306"/>
      </w:tabs>
    </w:pPr>
  </w:style>
  <w:style w:type="character" w:customStyle="1" w:styleId="FooterChar">
    <w:name w:val="Footer Char"/>
    <w:basedOn w:val="DefaultParagraphFont"/>
    <w:link w:val="Footer"/>
    <w:uiPriority w:val="99"/>
    <w:rsid w:val="009350D3"/>
    <w:rPr>
      <w:sz w:val="24"/>
      <w:szCs w:val="24"/>
      <w:lang w:val="en-GB" w:eastAsia="en-US"/>
    </w:rPr>
  </w:style>
  <w:style w:type="character" w:styleId="CommentReference">
    <w:name w:val="annotation reference"/>
    <w:basedOn w:val="DefaultParagraphFont"/>
    <w:semiHidden/>
    <w:unhideWhenUsed/>
    <w:rsid w:val="00F33577"/>
    <w:rPr>
      <w:sz w:val="16"/>
      <w:szCs w:val="16"/>
    </w:rPr>
  </w:style>
  <w:style w:type="paragraph" w:styleId="CommentText">
    <w:name w:val="annotation text"/>
    <w:basedOn w:val="Normal"/>
    <w:link w:val="CommentTextChar"/>
    <w:semiHidden/>
    <w:unhideWhenUsed/>
    <w:rsid w:val="00F33577"/>
    <w:rPr>
      <w:sz w:val="20"/>
      <w:szCs w:val="20"/>
    </w:rPr>
  </w:style>
  <w:style w:type="character" w:customStyle="1" w:styleId="CommentTextChar">
    <w:name w:val="Comment Text Char"/>
    <w:basedOn w:val="DefaultParagraphFont"/>
    <w:link w:val="CommentText"/>
    <w:semiHidden/>
    <w:rsid w:val="00F33577"/>
    <w:rPr>
      <w:lang w:val="en-GB" w:eastAsia="en-US"/>
    </w:rPr>
  </w:style>
  <w:style w:type="paragraph" w:styleId="CommentSubject">
    <w:name w:val="annotation subject"/>
    <w:basedOn w:val="CommentText"/>
    <w:next w:val="CommentText"/>
    <w:link w:val="CommentSubjectChar"/>
    <w:semiHidden/>
    <w:unhideWhenUsed/>
    <w:rsid w:val="00F33577"/>
    <w:rPr>
      <w:b/>
      <w:bCs/>
    </w:rPr>
  </w:style>
  <w:style w:type="character" w:customStyle="1" w:styleId="CommentSubjectChar">
    <w:name w:val="Comment Subject Char"/>
    <w:basedOn w:val="CommentTextChar"/>
    <w:link w:val="CommentSubject"/>
    <w:semiHidden/>
    <w:rsid w:val="00F33577"/>
    <w:rPr>
      <w:b/>
      <w:bCs/>
      <w:lang w:val="en-GB" w:eastAsia="en-US"/>
    </w:rPr>
  </w:style>
  <w:style w:type="character" w:styleId="FollowedHyperlink">
    <w:name w:val="FollowedHyperlink"/>
    <w:basedOn w:val="DefaultParagraphFont"/>
    <w:semiHidden/>
    <w:unhideWhenUsed/>
    <w:rsid w:val="001C15E5"/>
    <w:rPr>
      <w:color w:val="800080" w:themeColor="followedHyperlink"/>
      <w:u w:val="single"/>
    </w:rPr>
  </w:style>
  <w:style w:type="table" w:styleId="TableGrid">
    <w:name w:val="Table Grid"/>
    <w:basedOn w:val="TableNormal"/>
    <w:rsid w:val="008E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146366">
      <w:bodyDiv w:val="1"/>
      <w:marLeft w:val="0"/>
      <w:marRight w:val="0"/>
      <w:marTop w:val="0"/>
      <w:marBottom w:val="0"/>
      <w:divBdr>
        <w:top w:val="none" w:sz="0" w:space="0" w:color="auto"/>
        <w:left w:val="none" w:sz="0" w:space="0" w:color="auto"/>
        <w:bottom w:val="none" w:sz="0" w:space="0" w:color="auto"/>
        <w:right w:val="none" w:sz="0" w:space="0" w:color="auto"/>
      </w:divBdr>
    </w:div>
    <w:div w:id="610862795">
      <w:bodyDiv w:val="1"/>
      <w:marLeft w:val="0"/>
      <w:marRight w:val="0"/>
      <w:marTop w:val="0"/>
      <w:marBottom w:val="0"/>
      <w:divBdr>
        <w:top w:val="none" w:sz="0" w:space="0" w:color="auto"/>
        <w:left w:val="none" w:sz="0" w:space="0" w:color="auto"/>
        <w:bottom w:val="none" w:sz="0" w:space="0" w:color="auto"/>
        <w:right w:val="none" w:sz="0" w:space="0" w:color="auto"/>
      </w:divBdr>
    </w:div>
    <w:div w:id="808977981">
      <w:bodyDiv w:val="1"/>
      <w:marLeft w:val="0"/>
      <w:marRight w:val="0"/>
      <w:marTop w:val="0"/>
      <w:marBottom w:val="0"/>
      <w:divBdr>
        <w:top w:val="none" w:sz="0" w:space="0" w:color="auto"/>
        <w:left w:val="none" w:sz="0" w:space="0" w:color="auto"/>
        <w:bottom w:val="none" w:sz="0" w:space="0" w:color="auto"/>
        <w:right w:val="none" w:sz="0" w:space="0" w:color="auto"/>
      </w:divBdr>
    </w:div>
    <w:div w:id="858737202">
      <w:bodyDiv w:val="1"/>
      <w:marLeft w:val="0"/>
      <w:marRight w:val="0"/>
      <w:marTop w:val="0"/>
      <w:marBottom w:val="0"/>
      <w:divBdr>
        <w:top w:val="none" w:sz="0" w:space="0" w:color="auto"/>
        <w:left w:val="none" w:sz="0" w:space="0" w:color="auto"/>
        <w:bottom w:val="none" w:sz="0" w:space="0" w:color="auto"/>
        <w:right w:val="none" w:sz="0" w:space="0" w:color="auto"/>
      </w:divBdr>
    </w:div>
    <w:div w:id="977220229">
      <w:bodyDiv w:val="1"/>
      <w:marLeft w:val="0"/>
      <w:marRight w:val="0"/>
      <w:marTop w:val="0"/>
      <w:marBottom w:val="0"/>
      <w:divBdr>
        <w:top w:val="none" w:sz="0" w:space="0" w:color="auto"/>
        <w:left w:val="none" w:sz="0" w:space="0" w:color="auto"/>
        <w:bottom w:val="none" w:sz="0" w:space="0" w:color="auto"/>
        <w:right w:val="none" w:sz="0" w:space="0" w:color="auto"/>
      </w:divBdr>
    </w:div>
    <w:div w:id="1137072256">
      <w:bodyDiv w:val="1"/>
      <w:marLeft w:val="0"/>
      <w:marRight w:val="0"/>
      <w:marTop w:val="0"/>
      <w:marBottom w:val="0"/>
      <w:divBdr>
        <w:top w:val="none" w:sz="0" w:space="0" w:color="auto"/>
        <w:left w:val="none" w:sz="0" w:space="0" w:color="auto"/>
        <w:bottom w:val="none" w:sz="0" w:space="0" w:color="auto"/>
        <w:right w:val="none" w:sz="0" w:space="0" w:color="auto"/>
      </w:divBdr>
    </w:div>
    <w:div w:id="1386218230">
      <w:bodyDiv w:val="1"/>
      <w:marLeft w:val="0"/>
      <w:marRight w:val="0"/>
      <w:marTop w:val="0"/>
      <w:marBottom w:val="0"/>
      <w:divBdr>
        <w:top w:val="none" w:sz="0" w:space="0" w:color="auto"/>
        <w:left w:val="none" w:sz="0" w:space="0" w:color="auto"/>
        <w:bottom w:val="none" w:sz="0" w:space="0" w:color="auto"/>
        <w:right w:val="none" w:sz="0" w:space="0" w:color="auto"/>
      </w:divBdr>
    </w:div>
    <w:div w:id="1424110899">
      <w:bodyDiv w:val="1"/>
      <w:marLeft w:val="0"/>
      <w:marRight w:val="0"/>
      <w:marTop w:val="0"/>
      <w:marBottom w:val="0"/>
      <w:divBdr>
        <w:top w:val="none" w:sz="0" w:space="0" w:color="auto"/>
        <w:left w:val="none" w:sz="0" w:space="0" w:color="auto"/>
        <w:bottom w:val="none" w:sz="0" w:space="0" w:color="auto"/>
        <w:right w:val="none" w:sz="0" w:space="0" w:color="auto"/>
      </w:divBdr>
    </w:div>
    <w:div w:id="1437139157">
      <w:bodyDiv w:val="1"/>
      <w:marLeft w:val="0"/>
      <w:marRight w:val="0"/>
      <w:marTop w:val="0"/>
      <w:marBottom w:val="0"/>
      <w:divBdr>
        <w:top w:val="none" w:sz="0" w:space="0" w:color="auto"/>
        <w:left w:val="none" w:sz="0" w:space="0" w:color="auto"/>
        <w:bottom w:val="none" w:sz="0" w:space="0" w:color="auto"/>
        <w:right w:val="none" w:sz="0" w:space="0" w:color="auto"/>
      </w:divBdr>
    </w:div>
    <w:div w:id="1460567521">
      <w:bodyDiv w:val="1"/>
      <w:marLeft w:val="0"/>
      <w:marRight w:val="0"/>
      <w:marTop w:val="0"/>
      <w:marBottom w:val="0"/>
      <w:divBdr>
        <w:top w:val="none" w:sz="0" w:space="0" w:color="auto"/>
        <w:left w:val="none" w:sz="0" w:space="0" w:color="auto"/>
        <w:bottom w:val="none" w:sz="0" w:space="0" w:color="auto"/>
        <w:right w:val="none" w:sz="0" w:space="0" w:color="auto"/>
      </w:divBdr>
    </w:div>
    <w:div w:id="2036417083">
      <w:bodyDiv w:val="1"/>
      <w:marLeft w:val="0"/>
      <w:marRight w:val="0"/>
      <w:marTop w:val="0"/>
      <w:marBottom w:val="0"/>
      <w:divBdr>
        <w:top w:val="none" w:sz="0" w:space="0" w:color="auto"/>
        <w:left w:val="none" w:sz="0" w:space="0" w:color="auto"/>
        <w:bottom w:val="none" w:sz="0" w:space="0" w:color="auto"/>
        <w:right w:val="none" w:sz="0" w:space="0" w:color="auto"/>
      </w:divBdr>
    </w:div>
    <w:div w:id="20399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ec.europa.eu/eurostat/databrowser/bookmark/291014f7-f8f0-4869-b5f0-274ed022fff7?lang=en" TargetMode="Externa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c.europa.eu/eurostat/databrowser/bookmark/a363469a-be3d-44d4-aafa-e08229ccffca?lang=en"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ec.europa.eu/eurostat/databrowser/bookmark/48a7c543-0681-4b0b-bc40-d917519a2255?lang=en" TargetMode="External"/><Relationship Id="rId14" Type="http://schemas.openxmlformats.org/officeDocument/2006/relationships/hyperlink" Target="https://ec.europa.eu/eurostat/databrowser/bookmark/bec3be46-c9bd-4b4b-b1d6-367b1dd14842?lang=en" TargetMode="External"/><Relationship Id="rId22" Type="http://schemas.openxmlformats.org/officeDocument/2006/relationships/chart" Target="charts/chart3.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csb.gov.lv/skolenie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urbane\Desktop\Skol&#275;nu%20st&#363;r&#299;tis\Saimniec&#299;bas%20&#291;eogr&#257;fija\Ekonomikas%20apjoms%20ES\Ekonomikas%20apjoms%20E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iurbane\Desktop\Skol&#275;nu%20st&#363;r&#299;tis\Saimniec&#299;bas%20&#291;eogr&#257;fija\Ekonomikas%20apjoms%20ES\Ekonomikas%20apjoms%20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urbane\Desktop\Skol&#275;nu%20st&#363;r&#299;tis\Saimniec&#299;bas%20&#291;eogr&#257;fija\Ekonomikas%20apjoms%20ES\Ekonomikas%20apjoms%20E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mn-cs"/>
              </a:defRPr>
            </a:pPr>
            <a:r>
              <a:rPr lang="lv-LV" sz="1200" b="1">
                <a:effectLst/>
              </a:rPr>
              <a:t>Reālā IKP izmaiņas Latvijā un ES-27, 2009.- 2020. gads </a:t>
            </a:r>
            <a:br>
              <a:rPr lang="lv-LV" sz="1200" b="1">
                <a:effectLst/>
              </a:rPr>
            </a:br>
            <a:r>
              <a:rPr lang="lv-LV" sz="1100">
                <a:effectLst/>
              </a:rPr>
              <a:t>(IKP salīdzināmajās cenās, % pret iepriekšējo gadu)</a:t>
            </a:r>
            <a:endParaRPr lang="lv-LV"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65000"/>
                    <a:lumOff val="35000"/>
                  </a:sysClr>
                </a:solidFill>
              </a:defRPr>
            </a:pPr>
            <a:endParaRPr lang="lv-LV" sz="1200">
              <a:effectLst/>
            </a:endParaRPr>
          </a:p>
        </c:rich>
      </c:tx>
      <c:layout>
        <c:manualLayout>
          <c:xMode val="edge"/>
          <c:yMode val="edge"/>
          <c:x val="0.15447858610715592"/>
          <c:y val="3.8942976356050069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mn-cs"/>
            </a:defRPr>
          </a:pPr>
          <a:endParaRPr lang="lv-LV"/>
        </a:p>
      </c:txPr>
    </c:title>
    <c:autoTitleDeleted val="0"/>
    <c:plotArea>
      <c:layout>
        <c:manualLayout>
          <c:layoutTarget val="inner"/>
          <c:xMode val="edge"/>
          <c:yMode val="edge"/>
          <c:x val="7.429099615800501E-2"/>
          <c:y val="0.24328233657858131"/>
          <c:w val="0.89755801783204758"/>
          <c:h val="0.62945692289159261"/>
        </c:manualLayout>
      </c:layout>
      <c:barChart>
        <c:barDir val="col"/>
        <c:grouping val="clustered"/>
        <c:varyColors val="0"/>
        <c:ser>
          <c:idx val="0"/>
          <c:order val="0"/>
          <c:tx>
            <c:strRef>
              <c:f>'Reāllaika IKP, ES un LV'!$A$19</c:f>
              <c:strCache>
                <c:ptCount val="1"/>
                <c:pt idx="0">
                  <c:v>ES-27</c:v>
                </c:pt>
              </c:strCache>
            </c:strRef>
          </c:tx>
          <c:spPr>
            <a:solidFill>
              <a:schemeClr val="accent1"/>
            </a:solidFill>
            <a:ln>
              <a:noFill/>
            </a:ln>
            <a:effectLst/>
          </c:spPr>
          <c:invertIfNegative val="0"/>
          <c:cat>
            <c:numRef>
              <c:f>'Reāllaika IKP, ES un LV'!$B$18:$M$18</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pt idx="11">
                  <c:v>2020</c:v>
                </c:pt>
              </c:numCache>
            </c:numRef>
          </c:cat>
          <c:val>
            <c:numRef>
              <c:f>'Reāllaika IKP, ES un LV'!$B$19:$M$19</c:f>
              <c:numCache>
                <c:formatCode>#,##0.##########</c:formatCode>
                <c:ptCount val="12"/>
                <c:pt idx="0">
                  <c:v>-4.3</c:v>
                </c:pt>
                <c:pt idx="1">
                  <c:v>2.2000000000000002</c:v>
                </c:pt>
                <c:pt idx="2">
                  <c:v>1.8</c:v>
                </c:pt>
                <c:pt idx="3">
                  <c:v>-0.7</c:v>
                </c:pt>
                <c:pt idx="4" formatCode="#,##0.0">
                  <c:v>0</c:v>
                </c:pt>
                <c:pt idx="5">
                  <c:v>1.6</c:v>
                </c:pt>
                <c:pt idx="6">
                  <c:v>2.2999999999999998</c:v>
                </c:pt>
                <c:pt idx="7" formatCode="#,##0.0">
                  <c:v>2</c:v>
                </c:pt>
                <c:pt idx="8">
                  <c:v>2.8</c:v>
                </c:pt>
                <c:pt idx="9">
                  <c:v>2.1</c:v>
                </c:pt>
                <c:pt idx="10">
                  <c:v>1.6</c:v>
                </c:pt>
                <c:pt idx="11" formatCode="#,##0.0">
                  <c:v>-6</c:v>
                </c:pt>
              </c:numCache>
            </c:numRef>
          </c:val>
          <c:extLst>
            <c:ext xmlns:c16="http://schemas.microsoft.com/office/drawing/2014/chart" uri="{C3380CC4-5D6E-409C-BE32-E72D297353CC}">
              <c16:uniqueId val="{00000000-1749-4ED1-A6FF-CE0E065D2263}"/>
            </c:ext>
          </c:extLst>
        </c:ser>
        <c:ser>
          <c:idx val="1"/>
          <c:order val="1"/>
          <c:tx>
            <c:strRef>
              <c:f>'Reāllaika IKP, ES un LV'!$A$20</c:f>
              <c:strCache>
                <c:ptCount val="1"/>
                <c:pt idx="0">
                  <c:v>Latvija</c:v>
                </c:pt>
              </c:strCache>
            </c:strRef>
          </c:tx>
          <c:spPr>
            <a:solidFill>
              <a:schemeClr val="accent2"/>
            </a:solidFill>
            <a:ln>
              <a:noFill/>
            </a:ln>
            <a:effectLst/>
          </c:spPr>
          <c:invertIfNegative val="0"/>
          <c:cat>
            <c:numRef>
              <c:f>'Reāllaika IKP, ES un LV'!$B$18:$M$18</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pt idx="11">
                  <c:v>2020</c:v>
                </c:pt>
              </c:numCache>
            </c:numRef>
          </c:cat>
          <c:val>
            <c:numRef>
              <c:f>'Reāllaika IKP, ES un LV'!$B$20:$M$20</c:f>
              <c:numCache>
                <c:formatCode>#,##0.##########</c:formatCode>
                <c:ptCount val="12"/>
                <c:pt idx="0">
                  <c:v>-14.3</c:v>
                </c:pt>
                <c:pt idx="1">
                  <c:v>-4.4000000000000004</c:v>
                </c:pt>
                <c:pt idx="2">
                  <c:v>6.5</c:v>
                </c:pt>
                <c:pt idx="3">
                  <c:v>4.3</c:v>
                </c:pt>
                <c:pt idx="4">
                  <c:v>2.2999999999999998</c:v>
                </c:pt>
                <c:pt idx="5">
                  <c:v>1.1000000000000001</c:v>
                </c:pt>
                <c:pt idx="6" formatCode="#,##0.0">
                  <c:v>4</c:v>
                </c:pt>
                <c:pt idx="7">
                  <c:v>2.4</c:v>
                </c:pt>
                <c:pt idx="8">
                  <c:v>3.3</c:v>
                </c:pt>
                <c:pt idx="9" formatCode="#,##0.0">
                  <c:v>4</c:v>
                </c:pt>
                <c:pt idx="10" formatCode="#,##0.0">
                  <c:v>2</c:v>
                </c:pt>
                <c:pt idx="11">
                  <c:v>-3.6</c:v>
                </c:pt>
              </c:numCache>
            </c:numRef>
          </c:val>
          <c:extLst>
            <c:ext xmlns:c16="http://schemas.microsoft.com/office/drawing/2014/chart" uri="{C3380CC4-5D6E-409C-BE32-E72D297353CC}">
              <c16:uniqueId val="{00000001-1749-4ED1-A6FF-CE0E065D2263}"/>
            </c:ext>
          </c:extLst>
        </c:ser>
        <c:dLbls>
          <c:showLegendKey val="0"/>
          <c:showVal val="0"/>
          <c:showCatName val="0"/>
          <c:showSerName val="0"/>
          <c:showPercent val="0"/>
          <c:showBubbleSize val="0"/>
        </c:dLbls>
        <c:gapWidth val="219"/>
        <c:overlap val="-27"/>
        <c:axId val="1765255503"/>
        <c:axId val="1765246767"/>
      </c:barChart>
      <c:catAx>
        <c:axId val="1765255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65246767"/>
        <c:crosses val="autoZero"/>
        <c:auto val="1"/>
        <c:lblAlgn val="ctr"/>
        <c:lblOffset val="100"/>
        <c:noMultiLvlLbl val="0"/>
      </c:catAx>
      <c:valAx>
        <c:axId val="1765246767"/>
        <c:scaling>
          <c:orientation val="minMax"/>
          <c:min val="-15"/>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65255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FF5FB"/>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Iekšzemes kopprodukts uz vienu iedzīvotāju, 2020 gads</a:t>
            </a:r>
            <a:br>
              <a:rPr lang="lv-LV"/>
            </a:br>
            <a:r>
              <a:rPr lang="lv-LV"/>
              <a:t>(tūkst.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spPr>
            <a:solidFill>
              <a:srgbClr val="3376C4"/>
            </a:solidFill>
            <a:ln>
              <a:noFill/>
            </a:ln>
            <a:effectLst/>
          </c:spPr>
          <c:invertIfNegative val="0"/>
          <c:dLbls>
            <c:dLbl>
              <c:idx val="17"/>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6="http://schemas.microsoft.com/office/drawing/2014/chart" uri="{C3380CC4-5D6E-409C-BE32-E72D297353CC}">
                  <c16:uniqueId val="{00000000-EE2E-4037-92C2-CACD2581FD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'IKP uz 1 iedz'!$E$10:$E$37</c:f>
              <c:strCache>
                <c:ptCount val="28"/>
                <c:pt idx="0">
                  <c:v>Bulgārija</c:v>
                </c:pt>
                <c:pt idx="1">
                  <c:v>Rumānija</c:v>
                </c:pt>
                <c:pt idx="2">
                  <c:v>Horvātija</c:v>
                </c:pt>
                <c:pt idx="3">
                  <c:v>Polija</c:v>
                </c:pt>
                <c:pt idx="4">
                  <c:v>Ungārija</c:v>
                </c:pt>
                <c:pt idx="5">
                  <c:v>Latvija</c:v>
                </c:pt>
                <c:pt idx="6">
                  <c:v>Lietuva</c:v>
                </c:pt>
                <c:pt idx="7">
                  <c:v>Slovākija</c:v>
                </c:pt>
                <c:pt idx="8">
                  <c:v>Grieķija</c:v>
                </c:pt>
                <c:pt idx="9">
                  <c:v>Igaunija</c:v>
                </c:pt>
                <c:pt idx="10">
                  <c:v>Čehija</c:v>
                </c:pt>
                <c:pt idx="11">
                  <c:v>Portugāle</c:v>
                </c:pt>
                <c:pt idx="12">
                  <c:v>Slovēnija</c:v>
                </c:pt>
                <c:pt idx="13">
                  <c:v>Kipra</c:v>
                </c:pt>
                <c:pt idx="14">
                  <c:v>Spānija</c:v>
                </c:pt>
                <c:pt idx="15">
                  <c:v>Malta</c:v>
                </c:pt>
                <c:pt idx="16">
                  <c:v>Itālija</c:v>
                </c:pt>
                <c:pt idx="17">
                  <c:v>ES (27) </c:v>
                </c:pt>
                <c:pt idx="18">
                  <c:v>Francija</c:v>
                </c:pt>
                <c:pt idx="19">
                  <c:v>Beļģija</c:v>
                </c:pt>
                <c:pt idx="20">
                  <c:v>Vācija</c:v>
                </c:pt>
                <c:pt idx="21">
                  <c:v>Somija</c:v>
                </c:pt>
                <c:pt idx="22">
                  <c:v>Austrija</c:v>
                </c:pt>
                <c:pt idx="23">
                  <c:v>Nūdernalde</c:v>
                </c:pt>
                <c:pt idx="24">
                  <c:v>Zviedrija</c:v>
                </c:pt>
                <c:pt idx="25">
                  <c:v>Dānija</c:v>
                </c:pt>
                <c:pt idx="26">
                  <c:v>Īrija</c:v>
                </c:pt>
                <c:pt idx="27">
                  <c:v>Luksemburga</c:v>
                </c:pt>
              </c:strCache>
            </c:strRef>
          </c:cat>
          <c:val>
            <c:numRef>
              <c:f>'IKP uz 1 iedz'!$F$10:$F$37</c:f>
              <c:numCache>
                <c:formatCode>#,##0.0</c:formatCode>
                <c:ptCount val="28"/>
                <c:pt idx="0">
                  <c:v>8.75</c:v>
                </c:pt>
                <c:pt idx="1">
                  <c:v>11.29</c:v>
                </c:pt>
                <c:pt idx="2">
                  <c:v>12.17</c:v>
                </c:pt>
                <c:pt idx="3">
                  <c:v>13.64</c:v>
                </c:pt>
                <c:pt idx="4">
                  <c:v>13.94</c:v>
                </c:pt>
                <c:pt idx="5">
                  <c:v>15.43</c:v>
                </c:pt>
                <c:pt idx="6">
                  <c:v>17.510000000000002</c:v>
                </c:pt>
                <c:pt idx="7">
                  <c:v>16.77</c:v>
                </c:pt>
                <c:pt idx="8">
                  <c:v>15.49</c:v>
                </c:pt>
                <c:pt idx="9">
                  <c:v>20.440000000000001</c:v>
                </c:pt>
                <c:pt idx="10">
                  <c:v>20.12</c:v>
                </c:pt>
                <c:pt idx="11">
                  <c:v>19.66</c:v>
                </c:pt>
                <c:pt idx="12">
                  <c:v>22.01</c:v>
                </c:pt>
                <c:pt idx="13">
                  <c:v>23.4</c:v>
                </c:pt>
                <c:pt idx="14">
                  <c:v>23.69</c:v>
                </c:pt>
                <c:pt idx="15">
                  <c:v>24.63</c:v>
                </c:pt>
                <c:pt idx="16">
                  <c:v>27.78</c:v>
                </c:pt>
                <c:pt idx="17">
                  <c:v>29.8</c:v>
                </c:pt>
                <c:pt idx="18">
                  <c:v>34.04</c:v>
                </c:pt>
                <c:pt idx="19">
                  <c:v>39.11</c:v>
                </c:pt>
                <c:pt idx="20">
                  <c:v>40.49</c:v>
                </c:pt>
                <c:pt idx="21">
                  <c:v>42.7</c:v>
                </c:pt>
                <c:pt idx="22">
                  <c:v>42.3</c:v>
                </c:pt>
                <c:pt idx="23">
                  <c:v>45.87</c:v>
                </c:pt>
                <c:pt idx="24">
                  <c:v>45.85</c:v>
                </c:pt>
                <c:pt idx="25">
                  <c:v>53.6</c:v>
                </c:pt>
                <c:pt idx="26">
                  <c:v>74.87</c:v>
                </c:pt>
                <c:pt idx="27">
                  <c:v>101.64</c:v>
                </c:pt>
              </c:numCache>
            </c:numRef>
          </c:val>
          <c:extLst>
            <c:ext xmlns:c16="http://schemas.microsoft.com/office/drawing/2014/chart" uri="{C3380CC4-5D6E-409C-BE32-E72D297353CC}">
              <c16:uniqueId val="{00000001-EE2E-4037-92C2-CACD2581FD9F}"/>
            </c:ext>
          </c:extLst>
        </c:ser>
        <c:dLbls>
          <c:dLblPos val="outEnd"/>
          <c:showLegendKey val="0"/>
          <c:showVal val="1"/>
          <c:showCatName val="0"/>
          <c:showSerName val="0"/>
          <c:showPercent val="0"/>
          <c:showBubbleSize val="0"/>
        </c:dLbls>
        <c:gapWidth val="182"/>
        <c:axId val="160342271"/>
        <c:axId val="160340607"/>
      </c:barChart>
      <c:catAx>
        <c:axId val="1603422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0340607"/>
        <c:crosses val="autoZero"/>
        <c:auto val="1"/>
        <c:lblAlgn val="ctr"/>
        <c:lblOffset val="100"/>
        <c:noMultiLvlLbl val="0"/>
      </c:catAx>
      <c:valAx>
        <c:axId val="160340607"/>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03422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FF5FB"/>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v-LV" sz="1200" b="0" i="0" baseline="0">
                <a:effectLst/>
              </a:rPr>
              <a:t>Iekšzemes kopprodukts uz vienu iedzīvotāju pēc pirktspējas līmeņa 2020. gadā</a:t>
            </a:r>
            <a:endParaRPr lang="lv-LV" sz="1050">
              <a:effectLst/>
            </a:endParaRPr>
          </a:p>
        </c:rich>
      </c:tx>
      <c:layout>
        <c:manualLayout>
          <c:xMode val="edge"/>
          <c:yMode val="edge"/>
          <c:x val="0.16897222222222222"/>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v-LV"/>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'IKP pirkspējas līmenis'!$E$11:$E$38</c:f>
              <c:strCache>
                <c:ptCount val="28"/>
                <c:pt idx="0">
                  <c:v>Bulgārija</c:v>
                </c:pt>
                <c:pt idx="1">
                  <c:v>Grieķija</c:v>
                </c:pt>
                <c:pt idx="2">
                  <c:v>Horvātija</c:v>
                </c:pt>
                <c:pt idx="3">
                  <c:v>Slovākija</c:v>
                </c:pt>
                <c:pt idx="4">
                  <c:v>Rumānija</c:v>
                </c:pt>
                <c:pt idx="5">
                  <c:v>Laitvija</c:v>
                </c:pt>
                <c:pt idx="6">
                  <c:v>Ungārija</c:v>
                </c:pt>
                <c:pt idx="7">
                  <c:v>Polija</c:v>
                </c:pt>
                <c:pt idx="8">
                  <c:v>Portugāle</c:v>
                </c:pt>
                <c:pt idx="9">
                  <c:v>Spānija</c:v>
                </c:pt>
                <c:pt idx="10">
                  <c:v>Igaunija</c:v>
                </c:pt>
                <c:pt idx="11">
                  <c:v>Kipra</c:v>
                </c:pt>
                <c:pt idx="12">
                  <c:v>Lietuva</c:v>
                </c:pt>
                <c:pt idx="13">
                  <c:v>Slovēnija</c:v>
                </c:pt>
                <c:pt idx="14">
                  <c:v>Itālija</c:v>
                </c:pt>
                <c:pt idx="15">
                  <c:v>Čehija</c:v>
                </c:pt>
                <c:pt idx="16">
                  <c:v>Malta</c:v>
                </c:pt>
                <c:pt idx="17">
                  <c:v>ES (27)</c:v>
                </c:pt>
                <c:pt idx="18">
                  <c:v>Francija</c:v>
                </c:pt>
                <c:pt idx="19">
                  <c:v>Somija</c:v>
                </c:pt>
                <c:pt idx="20">
                  <c:v>Beļģija</c:v>
                </c:pt>
                <c:pt idx="21">
                  <c:v>Vācija</c:v>
                </c:pt>
                <c:pt idx="22">
                  <c:v>Zviedrija</c:v>
                </c:pt>
                <c:pt idx="23">
                  <c:v>Austrija</c:v>
                </c:pt>
                <c:pt idx="24">
                  <c:v>Nīderlande</c:v>
                </c:pt>
                <c:pt idx="25">
                  <c:v>Dānija</c:v>
                </c:pt>
                <c:pt idx="26">
                  <c:v>Īrija</c:v>
                </c:pt>
                <c:pt idx="27">
                  <c:v>Luksemburga</c:v>
                </c:pt>
              </c:strCache>
            </c:strRef>
          </c:cat>
          <c:val>
            <c:numRef>
              <c:f>'IKP pirkspējas līmenis'!$F$11:$F$38</c:f>
              <c:numCache>
                <c:formatCode>0</c:formatCode>
                <c:ptCount val="28"/>
                <c:pt idx="0">
                  <c:v>54.6</c:v>
                </c:pt>
                <c:pt idx="1">
                  <c:v>63.9</c:v>
                </c:pt>
                <c:pt idx="2">
                  <c:v>64.099999999999994</c:v>
                </c:pt>
                <c:pt idx="3">
                  <c:v>71.3</c:v>
                </c:pt>
                <c:pt idx="4">
                  <c:v>71.5</c:v>
                </c:pt>
                <c:pt idx="5">
                  <c:v>71.8</c:v>
                </c:pt>
                <c:pt idx="6">
                  <c:v>74.2</c:v>
                </c:pt>
                <c:pt idx="7">
                  <c:v>76.2</c:v>
                </c:pt>
                <c:pt idx="8">
                  <c:v>77.400000000000006</c:v>
                </c:pt>
                <c:pt idx="9">
                  <c:v>85.9</c:v>
                </c:pt>
                <c:pt idx="10">
                  <c:v>86.2</c:v>
                </c:pt>
                <c:pt idx="11">
                  <c:v>86.5</c:v>
                </c:pt>
                <c:pt idx="12">
                  <c:v>86.8</c:v>
                </c:pt>
                <c:pt idx="13">
                  <c:v>88.6</c:v>
                </c:pt>
                <c:pt idx="14">
                  <c:v>94</c:v>
                </c:pt>
                <c:pt idx="15">
                  <c:v>94.3</c:v>
                </c:pt>
                <c:pt idx="16">
                  <c:v>96.5</c:v>
                </c:pt>
                <c:pt idx="17">
                  <c:v>100</c:v>
                </c:pt>
                <c:pt idx="18">
                  <c:v>104.3</c:v>
                </c:pt>
                <c:pt idx="19">
                  <c:v>113.9</c:v>
                </c:pt>
                <c:pt idx="20">
                  <c:v>116.7</c:v>
                </c:pt>
                <c:pt idx="21">
                  <c:v>121.8</c:v>
                </c:pt>
                <c:pt idx="22">
                  <c:v>123</c:v>
                </c:pt>
                <c:pt idx="23">
                  <c:v>124.1</c:v>
                </c:pt>
                <c:pt idx="24">
                  <c:v>133</c:v>
                </c:pt>
                <c:pt idx="25">
                  <c:v>135.80000000000001</c:v>
                </c:pt>
                <c:pt idx="26">
                  <c:v>214.1</c:v>
                </c:pt>
                <c:pt idx="27">
                  <c:v>265.8</c:v>
                </c:pt>
              </c:numCache>
            </c:numRef>
          </c:val>
          <c:extLst>
            <c:ext xmlns:c16="http://schemas.microsoft.com/office/drawing/2014/chart" uri="{C3380CC4-5D6E-409C-BE32-E72D297353CC}">
              <c16:uniqueId val="{00000000-4587-4CB5-9278-13BDE94EAA03}"/>
            </c:ext>
          </c:extLst>
        </c:ser>
        <c:dLbls>
          <c:showLegendKey val="0"/>
          <c:showVal val="0"/>
          <c:showCatName val="0"/>
          <c:showSerName val="0"/>
          <c:showPercent val="0"/>
          <c:showBubbleSize val="0"/>
        </c:dLbls>
        <c:gapWidth val="219"/>
        <c:overlap val="-27"/>
        <c:axId val="302848383"/>
        <c:axId val="302872511"/>
      </c:barChart>
      <c:lineChart>
        <c:grouping val="standard"/>
        <c:varyColors val="0"/>
        <c:ser>
          <c:idx val="1"/>
          <c:order val="1"/>
          <c:spPr>
            <a:ln w="28575" cap="rnd">
              <a:solidFill>
                <a:schemeClr val="accent2"/>
              </a:solidFill>
              <a:round/>
            </a:ln>
            <a:effectLst/>
          </c:spPr>
          <c:marker>
            <c:symbol val="none"/>
          </c:marker>
          <c:cat>
            <c:strRef>
              <c:f>'IKP pirkspējas līmenis'!$E$11:$E$38</c:f>
              <c:strCache>
                <c:ptCount val="28"/>
                <c:pt idx="0">
                  <c:v>Bulgārija</c:v>
                </c:pt>
                <c:pt idx="1">
                  <c:v>Grieķija</c:v>
                </c:pt>
                <c:pt idx="2">
                  <c:v>Horvātija</c:v>
                </c:pt>
                <c:pt idx="3">
                  <c:v>Slovākija</c:v>
                </c:pt>
                <c:pt idx="4">
                  <c:v>Rumānija</c:v>
                </c:pt>
                <c:pt idx="5">
                  <c:v>Laitvija</c:v>
                </c:pt>
                <c:pt idx="6">
                  <c:v>Ungārija</c:v>
                </c:pt>
                <c:pt idx="7">
                  <c:v>Polija</c:v>
                </c:pt>
                <c:pt idx="8">
                  <c:v>Portugāle</c:v>
                </c:pt>
                <c:pt idx="9">
                  <c:v>Spānija</c:v>
                </c:pt>
                <c:pt idx="10">
                  <c:v>Igaunija</c:v>
                </c:pt>
                <c:pt idx="11">
                  <c:v>Kipra</c:v>
                </c:pt>
                <c:pt idx="12">
                  <c:v>Lietuva</c:v>
                </c:pt>
                <c:pt idx="13">
                  <c:v>Slovēnija</c:v>
                </c:pt>
                <c:pt idx="14">
                  <c:v>Itālija</c:v>
                </c:pt>
                <c:pt idx="15">
                  <c:v>Čehija</c:v>
                </c:pt>
                <c:pt idx="16">
                  <c:v>Malta</c:v>
                </c:pt>
                <c:pt idx="17">
                  <c:v>ES (27)</c:v>
                </c:pt>
                <c:pt idx="18">
                  <c:v>Francija</c:v>
                </c:pt>
                <c:pt idx="19">
                  <c:v>Somija</c:v>
                </c:pt>
                <c:pt idx="20">
                  <c:v>Beļģija</c:v>
                </c:pt>
                <c:pt idx="21">
                  <c:v>Vācija</c:v>
                </c:pt>
                <c:pt idx="22">
                  <c:v>Zviedrija</c:v>
                </c:pt>
                <c:pt idx="23">
                  <c:v>Austrija</c:v>
                </c:pt>
                <c:pt idx="24">
                  <c:v>Nīderlande</c:v>
                </c:pt>
                <c:pt idx="25">
                  <c:v>Dānija</c:v>
                </c:pt>
                <c:pt idx="26">
                  <c:v>Īrija</c:v>
                </c:pt>
                <c:pt idx="27">
                  <c:v>Luksemburga</c:v>
                </c:pt>
              </c:strCache>
            </c:strRef>
          </c:cat>
          <c:val>
            <c:numRef>
              <c:f>'IKP pirkspējas līmenis'!$G$11:$G$38</c:f>
              <c:numCache>
                <c:formatCode>General</c:formatCode>
                <c:ptCount val="2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numCache>
            </c:numRef>
          </c:val>
          <c:smooth val="0"/>
          <c:extLst>
            <c:ext xmlns:c16="http://schemas.microsoft.com/office/drawing/2014/chart" uri="{C3380CC4-5D6E-409C-BE32-E72D297353CC}">
              <c16:uniqueId val="{00000001-4587-4CB5-9278-13BDE94EAA03}"/>
            </c:ext>
          </c:extLst>
        </c:ser>
        <c:dLbls>
          <c:showLegendKey val="0"/>
          <c:showVal val="0"/>
          <c:showCatName val="0"/>
          <c:showSerName val="0"/>
          <c:showPercent val="0"/>
          <c:showBubbleSize val="0"/>
        </c:dLbls>
        <c:marker val="1"/>
        <c:smooth val="0"/>
        <c:axId val="302848383"/>
        <c:axId val="302872511"/>
      </c:lineChart>
      <c:catAx>
        <c:axId val="302848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2872511"/>
        <c:crosses val="autoZero"/>
        <c:auto val="1"/>
        <c:lblAlgn val="ctr"/>
        <c:lblOffset val="100"/>
        <c:noMultiLvlLbl val="0"/>
      </c:catAx>
      <c:valAx>
        <c:axId val="3028725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28483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FF5FB"/>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6DCD130F7E4D15830AF928BB19B5B7"/>
        <w:category>
          <w:name w:val="General"/>
          <w:gallery w:val="placeholder"/>
        </w:category>
        <w:types>
          <w:type w:val="bbPlcHdr"/>
        </w:types>
        <w:behaviors>
          <w:behavior w:val="content"/>
        </w:behaviors>
        <w:guid w:val="{8CC2A287-F593-4739-BFF2-B2FA23BE2936}"/>
      </w:docPartPr>
      <w:docPartBody>
        <w:p w:rsidR="000D0C91" w:rsidRDefault="00703FF1" w:rsidP="00703FF1">
          <w:pPr>
            <w:pStyle w:val="566DCD130F7E4D15830AF928BB19B5B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F1"/>
    <w:rsid w:val="000B3146"/>
    <w:rsid w:val="000D0C91"/>
    <w:rsid w:val="00546899"/>
    <w:rsid w:val="00703FF1"/>
    <w:rsid w:val="00946ED2"/>
    <w:rsid w:val="00FD04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6DCD130F7E4D15830AF928BB19B5B7">
    <w:name w:val="566DCD130F7E4D15830AF928BB19B5B7"/>
    <w:rsid w:val="00703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D63F6-582A-409C-8026-4C5C31C3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Pages>
  <Words>3042</Words>
  <Characters>1735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EKONOMIKAS APJOMI</vt:lpstr>
    </vt:vector>
  </TitlesOfParts>
  <Company>LR CSP</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EKONOMIKAS APJOMI</dc:title>
  <dc:creator>DKruza</dc:creator>
  <cp:lastModifiedBy>Ieva Urbane</cp:lastModifiedBy>
  <cp:revision>14</cp:revision>
  <dcterms:created xsi:type="dcterms:W3CDTF">2019-02-08T07:31:00Z</dcterms:created>
  <dcterms:modified xsi:type="dcterms:W3CDTF">2021-08-17T13:54:00Z</dcterms:modified>
</cp:coreProperties>
</file>