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211CB9" w14:textId="52EC2565" w:rsidR="00667673" w:rsidRDefault="00667673" w:rsidP="00340C60">
      <w:pPr>
        <w:spacing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6792A96A" wp14:editId="22543C8A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3764478" cy="1966811"/>
            <wp:effectExtent l="0" t="0" r="7620" b="0"/>
            <wp:wrapThrough wrapText="bothSides">
              <wp:wrapPolygon edited="0">
                <wp:start x="0" y="0"/>
                <wp:lineTo x="0" y="21342"/>
                <wp:lineTo x="21534" y="21342"/>
                <wp:lineTo x="21534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000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4478" cy="19668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636AD5" w14:textId="14A34B6F" w:rsidR="005C16BE" w:rsidRDefault="005C16BE" w:rsidP="00340C6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579197DF" w14:textId="077C28D9" w:rsidR="007C6009" w:rsidRDefault="007C6009" w:rsidP="00340C6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4137B059" w14:textId="107523EC" w:rsidR="007C6009" w:rsidRDefault="007C6009" w:rsidP="00340C6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78EFC330" w14:textId="211FF9F5" w:rsidR="007C6009" w:rsidRDefault="007C6009" w:rsidP="00340C6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2C4E6AC" w14:textId="36D236F1" w:rsidR="007C6009" w:rsidRDefault="007C6009" w:rsidP="00340C6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399288F4" w14:textId="459CC478" w:rsidR="007C6009" w:rsidRDefault="007C6009" w:rsidP="00340C6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0D4FDA17" w14:textId="77777777" w:rsidR="007C6009" w:rsidRDefault="007C6009" w:rsidP="00340C60">
      <w:pPr>
        <w:spacing w:after="120" w:line="276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531"/>
      </w:tblGrid>
      <w:tr w:rsidR="00B545D8" w14:paraId="3295EAF2" w14:textId="77777777" w:rsidTr="00B210EA">
        <w:tc>
          <w:tcPr>
            <w:tcW w:w="4673" w:type="dxa"/>
          </w:tcPr>
          <w:p w14:paraId="7046F1C9" w14:textId="167AD0AB" w:rsidR="005C16BE" w:rsidRDefault="005C16BE" w:rsidP="00340C60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00A3FEF4" wp14:editId="5B61C6AB">
                  <wp:extent cx="2798456" cy="1511300"/>
                  <wp:effectExtent l="0" t="0" r="190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00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6848" cy="15374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6CB68EEC" w14:textId="1F404586" w:rsidR="005C16BE" w:rsidRDefault="005C16BE" w:rsidP="00340C60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340C60">
              <w:rPr>
                <w:rFonts w:ascii="Arial" w:hAnsi="Arial" w:cs="Arial"/>
                <w:sz w:val="22"/>
                <w:szCs w:val="22"/>
              </w:rPr>
              <w:t xml:space="preserve">Iedzīvotāju skaita izmaiņas ietekmē divi faktori – dabiskais pieaugums (starpība starp dzimušo un mirušo skaitu) un migrācijas saldo (starpība starp iedzīvotājiem, kas ieradušies un izbraukuši). </w:t>
            </w:r>
          </w:p>
        </w:tc>
      </w:tr>
      <w:tr w:rsidR="00B545D8" w14:paraId="2AFF50D9" w14:textId="77777777" w:rsidTr="00B210EA">
        <w:tc>
          <w:tcPr>
            <w:tcW w:w="4673" w:type="dxa"/>
          </w:tcPr>
          <w:p w14:paraId="3C631F74" w14:textId="77BA6319" w:rsidR="005C16BE" w:rsidRDefault="005C16BE" w:rsidP="00340C60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4478B948" wp14:editId="06DB14F6">
                  <wp:extent cx="2765578" cy="1009403"/>
                  <wp:effectExtent l="0" t="0" r="0" b="63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002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1177" cy="1029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2D04A9ED" w14:textId="77777777" w:rsidR="005C16BE" w:rsidRPr="00340C60" w:rsidRDefault="005C16BE" w:rsidP="005C16BE">
            <w:pPr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40C60">
              <w:rPr>
                <w:rFonts w:ascii="Arial" w:hAnsi="Arial" w:cs="Arial"/>
                <w:sz w:val="22"/>
                <w:szCs w:val="22"/>
              </w:rPr>
              <w:t>Iedzīvotāju skaita dinamiku var izteikt absolūtos skaitļos vai kā relatīvu rādītāju, piemēram, iedzīvotāju skaita izmaiņas uz 1 000 iedzīvotāju.</w:t>
            </w:r>
          </w:p>
          <w:p w14:paraId="41BA814D" w14:textId="77777777" w:rsidR="005C16BE" w:rsidRDefault="005C16BE" w:rsidP="00340C60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45D8" w14:paraId="05070B0F" w14:textId="77777777" w:rsidTr="00B210EA">
        <w:tc>
          <w:tcPr>
            <w:tcW w:w="4673" w:type="dxa"/>
          </w:tcPr>
          <w:p w14:paraId="1FCD6190" w14:textId="42D8C718" w:rsidR="005C16BE" w:rsidRDefault="005C16BE" w:rsidP="00340C60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115ABD56" wp14:editId="3689EE96">
                  <wp:extent cx="2822391" cy="973777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003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6391" cy="995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252484CA" w14:textId="77777777" w:rsidR="005C16BE" w:rsidRDefault="005C16BE" w:rsidP="00340C60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45D8" w14:paraId="12D1FD9D" w14:textId="77777777" w:rsidTr="00B210EA">
        <w:trPr>
          <w:trHeight w:val="3525"/>
        </w:trPr>
        <w:tc>
          <w:tcPr>
            <w:tcW w:w="4673" w:type="dxa"/>
          </w:tcPr>
          <w:p w14:paraId="7A3FF179" w14:textId="61216B91" w:rsidR="005C16BE" w:rsidRDefault="007C6009" w:rsidP="00340C60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5195D699" wp14:editId="1CD289FE">
                  <wp:extent cx="2821572" cy="209550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2503" cy="21036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001EAD37" w14:textId="77777777" w:rsidR="005C16BE" w:rsidRPr="00340C60" w:rsidRDefault="005C16BE" w:rsidP="005C16BE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340C60">
              <w:rPr>
                <w:rFonts w:ascii="Arial" w:hAnsi="Arial" w:cs="Arial"/>
                <w:sz w:val="22"/>
                <w:szCs w:val="22"/>
              </w:rPr>
              <w:t>Latvijā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40C60">
              <w:rPr>
                <w:rFonts w:ascii="Arial" w:hAnsi="Arial" w:cs="Arial"/>
                <w:sz w:val="22"/>
                <w:szCs w:val="22"/>
              </w:rPr>
              <w:t>gan dabiskais pieaugums, gan migrācijas saldo ir negatīvs</w:t>
            </w:r>
            <w:r>
              <w:rPr>
                <w:rFonts w:ascii="Arial" w:hAnsi="Arial" w:cs="Arial"/>
                <w:sz w:val="22"/>
                <w:szCs w:val="22"/>
              </w:rPr>
              <w:t>. No</w:t>
            </w:r>
            <w:r w:rsidRPr="00340C60">
              <w:rPr>
                <w:rFonts w:ascii="Arial" w:hAnsi="Arial" w:cs="Arial"/>
                <w:sz w:val="22"/>
                <w:szCs w:val="22"/>
              </w:rPr>
              <w:t xml:space="preserve"> 90. gadu sākuma Latvijas iedzīvotāju skaits sarūk negatīvā migrācijas saldo un negatīvā dabiskā pieauguma dēļ.</w:t>
            </w:r>
            <w:r>
              <w:rPr>
                <w:rFonts w:ascii="Arial" w:hAnsi="Arial" w:cs="Arial"/>
                <w:sz w:val="22"/>
                <w:szCs w:val="22"/>
              </w:rPr>
              <w:t xml:space="preserve"> Līdz 1990. gadam Latvijā bija gan pozitīvs migrācijas saldo, gan dabiskais pieaugums.</w:t>
            </w:r>
            <w:r w:rsidRPr="00340C60">
              <w:rPr>
                <w:rFonts w:ascii="Arial" w:hAnsi="Arial" w:cs="Arial"/>
                <w:sz w:val="22"/>
                <w:szCs w:val="22"/>
              </w:rPr>
              <w:t xml:space="preserve"> Būtiskākās iedzīvotāju skaita izmaiņas notika 1992. gadā un 2010. gadā negatīvā migrācijas saldo dēļ. </w:t>
            </w:r>
          </w:p>
          <w:p w14:paraId="7FF640A9" w14:textId="77777777" w:rsidR="00316DD9" w:rsidRPr="00A6433E" w:rsidRDefault="00316DD9" w:rsidP="00316DD9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A6433E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Avots:</w:t>
            </w:r>
            <w:r w:rsidRPr="005E34DA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12" w:history="1">
              <w:r w:rsidRPr="00A6433E">
                <w:rPr>
                  <w:rStyle w:val="Hyperlink"/>
                  <w:rFonts w:ascii="Arial" w:hAnsi="Arial" w:cs="Arial"/>
                  <w:sz w:val="22"/>
                  <w:szCs w:val="22"/>
                </w:rPr>
                <w:t>CSP datubāze IRS030</w:t>
              </w:r>
            </w:hyperlink>
          </w:p>
          <w:p w14:paraId="021FA38D" w14:textId="77777777" w:rsidR="005C16BE" w:rsidRDefault="005C16BE" w:rsidP="00340C60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6DD9" w14:paraId="6D5BE045" w14:textId="77777777" w:rsidTr="00B210EA">
        <w:tc>
          <w:tcPr>
            <w:tcW w:w="9204" w:type="dxa"/>
            <w:gridSpan w:val="2"/>
          </w:tcPr>
          <w:p w14:paraId="6D3A36F9" w14:textId="5820896C" w:rsidR="00316DD9" w:rsidRPr="00316DD9" w:rsidRDefault="00B210EA" w:rsidP="00316DD9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344CF0B" wp14:editId="41FB633E">
                  <wp:extent cx="5651500" cy="2882900"/>
                  <wp:effectExtent l="0" t="0" r="6350" b="12700"/>
                  <wp:docPr id="1" name="Chart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F2A3A78-A432-43F6-9860-0845825AEA8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  <w:tr w:rsidR="00B545D8" w14:paraId="61C50FCE" w14:textId="77777777" w:rsidTr="00B210EA">
        <w:tc>
          <w:tcPr>
            <w:tcW w:w="4673" w:type="dxa"/>
          </w:tcPr>
          <w:p w14:paraId="78B7B3F8" w14:textId="2D2ECE38" w:rsidR="005C16BE" w:rsidRDefault="007C6009" w:rsidP="00340C60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13A6B6ED" wp14:editId="34C19009">
                  <wp:extent cx="2798759" cy="2019300"/>
                  <wp:effectExtent l="0" t="0" r="190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4226" cy="20376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360D31A7" w14:textId="1E0FB81A" w:rsidR="005C16BE" w:rsidRDefault="005C16BE" w:rsidP="005C16B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Eiropas Savienībā iedzīvotāju skaits pieaug katru gadu. Līdz 20. 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90. gadiem iedzīvotāju skaita pieaugums saistāms galvenokārt ar pozitīvo dabisko pieaugumu, bet vēlākajās desmitgadēs ar pozitīvo migrācijas saldo. </w:t>
            </w:r>
          </w:p>
          <w:p w14:paraId="673B59C5" w14:textId="4C384F6C" w:rsidR="007C6009" w:rsidRDefault="007C6009" w:rsidP="007C6009">
            <w:pPr>
              <w:rPr>
                <w:rFonts w:ascii="Arial" w:hAnsi="Arial" w:cs="Arial"/>
                <w:sz w:val="22"/>
                <w:szCs w:val="22"/>
              </w:rPr>
            </w:pPr>
            <w:commentRangeStart w:id="0"/>
            <w:r>
              <w:rPr>
                <w:rFonts w:ascii="Arial" w:hAnsi="Arial" w:cs="Arial"/>
                <w:sz w:val="22"/>
                <w:szCs w:val="22"/>
              </w:rPr>
              <w:t>2020.gadā Apvienotā Karaliste izstājas no  Eiropas Savienības, Eiropas Savienības iedzīvotāju skaits strauji sarūk.</w:t>
            </w:r>
            <w:commentRangeEnd w:id="0"/>
            <w:r>
              <w:rPr>
                <w:rStyle w:val="CommentReference"/>
              </w:rPr>
              <w:commentReference w:id="0"/>
            </w:r>
          </w:p>
          <w:p w14:paraId="79C3A2AD" w14:textId="5950430A" w:rsidR="00B210EA" w:rsidRDefault="00B210EA" w:rsidP="00B210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Šajā diagrammā Eiropas Savienības rādītājs iekļauj arī Apvienotās Karalistes datus līdz 2019.gadam.  </w:t>
            </w:r>
          </w:p>
          <w:p w14:paraId="274BCA50" w14:textId="6144C52D" w:rsidR="00B210EA" w:rsidRPr="008137E2" w:rsidRDefault="00B210EA" w:rsidP="00B210EA">
            <w:pPr>
              <w:rPr>
                <w:rFonts w:ascii="Arial" w:hAnsi="Arial" w:cs="Arial"/>
                <w:sz w:val="22"/>
                <w:szCs w:val="22"/>
              </w:rPr>
            </w:pPr>
            <w:r w:rsidRPr="003146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Avots:</w:t>
            </w:r>
            <w:r w:rsidRPr="00340C60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19" w:history="1">
              <w:proofErr w:type="spellStart"/>
              <w:r w:rsidRPr="005E34DA">
                <w:rPr>
                  <w:rStyle w:val="Hyperlink"/>
                  <w:rFonts w:ascii="Arial" w:hAnsi="Arial" w:cs="Arial"/>
                  <w:sz w:val="22"/>
                  <w:szCs w:val="22"/>
                </w:rPr>
                <w:t>Eurostat</w:t>
              </w:r>
              <w:proofErr w:type="spellEnd"/>
              <w:r w:rsidRPr="005E34DA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datubāze</w:t>
              </w:r>
            </w:hyperlink>
          </w:p>
          <w:p w14:paraId="5C1686B9" w14:textId="77777777" w:rsidR="007C6009" w:rsidRDefault="007C6009" w:rsidP="005C16B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802981" w14:textId="77777777" w:rsidR="005C16BE" w:rsidRDefault="005C16BE" w:rsidP="00340C60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10EA" w14:paraId="4583CC1E" w14:textId="77777777" w:rsidTr="00B210EA">
        <w:tc>
          <w:tcPr>
            <w:tcW w:w="9204" w:type="dxa"/>
            <w:gridSpan w:val="2"/>
          </w:tcPr>
          <w:p w14:paraId="184C6322" w14:textId="1E2EF7AA" w:rsidR="00B210EA" w:rsidRDefault="00B210EA" w:rsidP="005C16B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0AE00516" wp14:editId="39ABA794">
                  <wp:extent cx="5638800" cy="2768600"/>
                  <wp:effectExtent l="0" t="0" r="0" b="12700"/>
                  <wp:docPr id="4" name="Chart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DAC944F-0FA3-43B9-971C-6EB519A94A5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0"/>
                    </a:graphicData>
                  </a:graphic>
                </wp:inline>
              </w:drawing>
            </w:r>
          </w:p>
        </w:tc>
      </w:tr>
    </w:tbl>
    <w:p w14:paraId="5EB3D848" w14:textId="77777777" w:rsidR="005C16BE" w:rsidRDefault="005C16BE" w:rsidP="00340C6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4A85BC69" w14:textId="6579977E" w:rsidR="00667673" w:rsidRDefault="00667673" w:rsidP="00340C60">
      <w:pPr>
        <w:spacing w:after="120" w:line="276" w:lineRule="auto"/>
        <w:rPr>
          <w:rFonts w:ascii="Arial" w:hAnsi="Arial" w:cs="Arial"/>
          <w:sz w:val="22"/>
          <w:szCs w:val="22"/>
        </w:rPr>
      </w:pPr>
    </w:p>
    <w:sectPr w:rsidR="00667673" w:rsidSect="00340C60">
      <w:footerReference w:type="default" r:id="rId21"/>
      <w:pgSz w:w="11906" w:h="16838" w:code="9"/>
      <w:pgMar w:top="1440" w:right="1274" w:bottom="1440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Ieva Urbane" w:date="2021-07-22T10:32:00Z" w:initials="IU">
    <w:p w14:paraId="0D18FB38" w14:textId="62B46704" w:rsidR="007C6009" w:rsidRDefault="007C6009">
      <w:pPr>
        <w:pStyle w:val="CommentText"/>
      </w:pPr>
      <w:r>
        <w:rPr>
          <w:rStyle w:val="CommentReference"/>
        </w:rPr>
        <w:annotationRef/>
      </w:r>
      <w:r>
        <w:t xml:space="preserve">Par Apvienoto Karalisti 2020. gadā dati vēl nav. Vai </w:t>
      </w:r>
      <w:proofErr w:type="spellStart"/>
      <w:r>
        <w:t>Brexit</w:t>
      </w:r>
      <w:proofErr w:type="spellEnd"/>
      <w:r>
        <w:t xml:space="preserve"> ietekmi uz ES iekļaut?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D18FB3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A3C7D7" w16cex:dateUtc="2021-07-22T07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D18FB38" w16cid:durableId="24A3C7D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477EAF" w14:textId="77777777" w:rsidR="004D7D3B" w:rsidRDefault="004D7D3B" w:rsidP="005E34DA">
      <w:r>
        <w:separator/>
      </w:r>
    </w:p>
  </w:endnote>
  <w:endnote w:type="continuationSeparator" w:id="0">
    <w:p w14:paraId="3BA6CE87" w14:textId="77777777" w:rsidR="004D7D3B" w:rsidRDefault="004D7D3B" w:rsidP="005E3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1A3127" w14:textId="14E0D44F" w:rsidR="005E34DA" w:rsidRDefault="004D7D3B">
    <w:pPr>
      <w:pStyle w:val="Footer"/>
    </w:pPr>
    <w:hyperlink r:id="rId1" w:history="1">
      <w:r w:rsidR="005E34DA" w:rsidRPr="00777F64">
        <w:rPr>
          <w:rStyle w:val="Hyperlink"/>
        </w:rPr>
        <w:t>www.csb.gov.lv/skoleniem</w:t>
      </w:r>
    </w:hyperlink>
    <w:r w:rsidR="005E34DA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A6D865" w14:textId="77777777" w:rsidR="004D7D3B" w:rsidRDefault="004D7D3B" w:rsidP="005E34DA">
      <w:r>
        <w:separator/>
      </w:r>
    </w:p>
  </w:footnote>
  <w:footnote w:type="continuationSeparator" w:id="0">
    <w:p w14:paraId="00710205" w14:textId="77777777" w:rsidR="004D7D3B" w:rsidRDefault="004D7D3B" w:rsidP="005E34DA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eva Urbane">
    <w15:presenceInfo w15:providerId="AD" w15:userId="S::ieva.urbane@csp.gov.lv::7d8bfac2-ef19-4603-8dd8-82fa4213543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F9C"/>
    <w:rsid w:val="000038BD"/>
    <w:rsid w:val="00004056"/>
    <w:rsid w:val="000071BF"/>
    <w:rsid w:val="0001307E"/>
    <w:rsid w:val="00046E4F"/>
    <w:rsid w:val="0005543B"/>
    <w:rsid w:val="000634FF"/>
    <w:rsid w:val="00080705"/>
    <w:rsid w:val="00080A46"/>
    <w:rsid w:val="00085902"/>
    <w:rsid w:val="000902C8"/>
    <w:rsid w:val="0009063E"/>
    <w:rsid w:val="000A14DE"/>
    <w:rsid w:val="000A6193"/>
    <w:rsid w:val="000C0B75"/>
    <w:rsid w:val="000D00AC"/>
    <w:rsid w:val="000D4F85"/>
    <w:rsid w:val="000E01D6"/>
    <w:rsid w:val="000F67CA"/>
    <w:rsid w:val="00120066"/>
    <w:rsid w:val="00125C29"/>
    <w:rsid w:val="00126903"/>
    <w:rsid w:val="001661E7"/>
    <w:rsid w:val="001A15BA"/>
    <w:rsid w:val="001A7934"/>
    <w:rsid w:val="001E54FA"/>
    <w:rsid w:val="001F3998"/>
    <w:rsid w:val="00222E97"/>
    <w:rsid w:val="002232E8"/>
    <w:rsid w:val="002345E2"/>
    <w:rsid w:val="002427B2"/>
    <w:rsid w:val="00245349"/>
    <w:rsid w:val="002545BB"/>
    <w:rsid w:val="00274310"/>
    <w:rsid w:val="0027771A"/>
    <w:rsid w:val="002873EA"/>
    <w:rsid w:val="002A24DF"/>
    <w:rsid w:val="002C248D"/>
    <w:rsid w:val="002C2BD2"/>
    <w:rsid w:val="002D699C"/>
    <w:rsid w:val="002E4479"/>
    <w:rsid w:val="002E5077"/>
    <w:rsid w:val="003146D9"/>
    <w:rsid w:val="00316DD9"/>
    <w:rsid w:val="003309F3"/>
    <w:rsid w:val="00340C60"/>
    <w:rsid w:val="00345545"/>
    <w:rsid w:val="0034655E"/>
    <w:rsid w:val="00356E8D"/>
    <w:rsid w:val="003A190E"/>
    <w:rsid w:val="003B3BC4"/>
    <w:rsid w:val="003C0A43"/>
    <w:rsid w:val="003C45FF"/>
    <w:rsid w:val="003E289C"/>
    <w:rsid w:val="00405F8A"/>
    <w:rsid w:val="00416EE6"/>
    <w:rsid w:val="004323EB"/>
    <w:rsid w:val="00443EC0"/>
    <w:rsid w:val="0046361D"/>
    <w:rsid w:val="00467ED3"/>
    <w:rsid w:val="004D7D3B"/>
    <w:rsid w:val="004E658E"/>
    <w:rsid w:val="004F0AF2"/>
    <w:rsid w:val="00524837"/>
    <w:rsid w:val="00546401"/>
    <w:rsid w:val="00562093"/>
    <w:rsid w:val="005627B0"/>
    <w:rsid w:val="0057767E"/>
    <w:rsid w:val="00577AE6"/>
    <w:rsid w:val="00585069"/>
    <w:rsid w:val="00596AFB"/>
    <w:rsid w:val="005A2345"/>
    <w:rsid w:val="005B06F2"/>
    <w:rsid w:val="005B0A4E"/>
    <w:rsid w:val="005B2A2C"/>
    <w:rsid w:val="005C16BE"/>
    <w:rsid w:val="005D24A5"/>
    <w:rsid w:val="005E34DA"/>
    <w:rsid w:val="005F581E"/>
    <w:rsid w:val="00602FB2"/>
    <w:rsid w:val="00624C6C"/>
    <w:rsid w:val="006300AF"/>
    <w:rsid w:val="00633AA8"/>
    <w:rsid w:val="00634CA4"/>
    <w:rsid w:val="00637710"/>
    <w:rsid w:val="0064064F"/>
    <w:rsid w:val="00642534"/>
    <w:rsid w:val="006470D7"/>
    <w:rsid w:val="00652D14"/>
    <w:rsid w:val="00653FB6"/>
    <w:rsid w:val="00667673"/>
    <w:rsid w:val="0067774D"/>
    <w:rsid w:val="00697A79"/>
    <w:rsid w:val="006A1D2E"/>
    <w:rsid w:val="006A7C48"/>
    <w:rsid w:val="006B5670"/>
    <w:rsid w:val="006E1C0B"/>
    <w:rsid w:val="00701FE1"/>
    <w:rsid w:val="00705B7B"/>
    <w:rsid w:val="0071433C"/>
    <w:rsid w:val="00720A5C"/>
    <w:rsid w:val="007222E4"/>
    <w:rsid w:val="007326BD"/>
    <w:rsid w:val="00742299"/>
    <w:rsid w:val="00766F8B"/>
    <w:rsid w:val="00777E94"/>
    <w:rsid w:val="007921E4"/>
    <w:rsid w:val="0079701E"/>
    <w:rsid w:val="007A6C62"/>
    <w:rsid w:val="007C6009"/>
    <w:rsid w:val="008137E2"/>
    <w:rsid w:val="00826156"/>
    <w:rsid w:val="00873D13"/>
    <w:rsid w:val="00885D36"/>
    <w:rsid w:val="0089473C"/>
    <w:rsid w:val="008C0D67"/>
    <w:rsid w:val="008C3A48"/>
    <w:rsid w:val="008E47F7"/>
    <w:rsid w:val="008F6CA9"/>
    <w:rsid w:val="00951CBE"/>
    <w:rsid w:val="00985DB8"/>
    <w:rsid w:val="009A0703"/>
    <w:rsid w:val="009A1684"/>
    <w:rsid w:val="009C38AB"/>
    <w:rsid w:val="009D5F9C"/>
    <w:rsid w:val="009E6602"/>
    <w:rsid w:val="009F26AB"/>
    <w:rsid w:val="00A16DB6"/>
    <w:rsid w:val="00A36F20"/>
    <w:rsid w:val="00A45FEA"/>
    <w:rsid w:val="00A6433E"/>
    <w:rsid w:val="00A870F1"/>
    <w:rsid w:val="00AB1D1C"/>
    <w:rsid w:val="00AC746F"/>
    <w:rsid w:val="00AF5E2B"/>
    <w:rsid w:val="00B158DC"/>
    <w:rsid w:val="00B210EA"/>
    <w:rsid w:val="00B24085"/>
    <w:rsid w:val="00B2651E"/>
    <w:rsid w:val="00B50091"/>
    <w:rsid w:val="00B545D8"/>
    <w:rsid w:val="00BA621A"/>
    <w:rsid w:val="00BE3A52"/>
    <w:rsid w:val="00BE72A5"/>
    <w:rsid w:val="00BF2B68"/>
    <w:rsid w:val="00BF6B9C"/>
    <w:rsid w:val="00C0031E"/>
    <w:rsid w:val="00C01179"/>
    <w:rsid w:val="00C07B72"/>
    <w:rsid w:val="00C46E45"/>
    <w:rsid w:val="00C926A5"/>
    <w:rsid w:val="00CC0FA9"/>
    <w:rsid w:val="00CD2A5F"/>
    <w:rsid w:val="00D03499"/>
    <w:rsid w:val="00D17D63"/>
    <w:rsid w:val="00D428C8"/>
    <w:rsid w:val="00D46D02"/>
    <w:rsid w:val="00D871C6"/>
    <w:rsid w:val="00D9446C"/>
    <w:rsid w:val="00D9764D"/>
    <w:rsid w:val="00DA07A5"/>
    <w:rsid w:val="00DF4190"/>
    <w:rsid w:val="00E00509"/>
    <w:rsid w:val="00E214CF"/>
    <w:rsid w:val="00E44E51"/>
    <w:rsid w:val="00E61A04"/>
    <w:rsid w:val="00E638F8"/>
    <w:rsid w:val="00E805B6"/>
    <w:rsid w:val="00E80843"/>
    <w:rsid w:val="00E87A25"/>
    <w:rsid w:val="00EB09E3"/>
    <w:rsid w:val="00ED78C7"/>
    <w:rsid w:val="00EE5F30"/>
    <w:rsid w:val="00EE751F"/>
    <w:rsid w:val="00EF5E5A"/>
    <w:rsid w:val="00EF7F27"/>
    <w:rsid w:val="00F113B0"/>
    <w:rsid w:val="00F23D06"/>
    <w:rsid w:val="00F67382"/>
    <w:rsid w:val="00F76C78"/>
    <w:rsid w:val="00F77786"/>
    <w:rsid w:val="00F8433D"/>
    <w:rsid w:val="00FB0567"/>
    <w:rsid w:val="00FE64BD"/>
    <w:rsid w:val="00FF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832E9D2"/>
  <w15:docId w15:val="{9D2B97E4-5085-4352-B97E-3B47D47A1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D5F9C"/>
    <w:rPr>
      <w:color w:val="0000FF"/>
      <w:u w:val="single"/>
    </w:rPr>
  </w:style>
  <w:style w:type="table" w:styleId="TableGrid">
    <w:name w:val="Table Grid"/>
    <w:basedOn w:val="TableNormal"/>
    <w:rsid w:val="00885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07B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07B7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AF5E2B"/>
    <w:rPr>
      <w:sz w:val="16"/>
      <w:szCs w:val="16"/>
    </w:rPr>
  </w:style>
  <w:style w:type="paragraph" w:styleId="CommentText">
    <w:name w:val="annotation text"/>
    <w:basedOn w:val="Normal"/>
    <w:link w:val="CommentTextChar"/>
    <w:rsid w:val="00AF5E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F5E2B"/>
  </w:style>
  <w:style w:type="paragraph" w:styleId="CommentSubject">
    <w:name w:val="annotation subject"/>
    <w:basedOn w:val="CommentText"/>
    <w:next w:val="CommentText"/>
    <w:link w:val="CommentSubjectChar"/>
    <w:rsid w:val="00AF5E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F5E2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B06F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5E34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E34D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E34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4DA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EB09E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2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hart" Target="charts/chart1.xml"/><Relationship Id="rId18" Type="http://schemas.microsoft.com/office/2018/08/relationships/commentsExtensible" Target="commentsExtensible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hyperlink" Target="https://data.stat.gov.lv:443/sq/6703" TargetMode="Externa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20" Type="http://schemas.openxmlformats.org/officeDocument/2006/relationships/chart" Target="charts/chart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omments" Target="comments.xml"/><Relationship Id="rId23" Type="http://schemas.microsoft.com/office/2011/relationships/people" Target="people.xml"/><Relationship Id="rId10" Type="http://schemas.openxmlformats.org/officeDocument/2006/relationships/image" Target="media/image4.png"/><Relationship Id="rId19" Type="http://schemas.openxmlformats.org/officeDocument/2006/relationships/hyperlink" Target="https://ec.europa.eu/eurostat/databrowser/view/DEMO_GIND__custom_1164473/default/table?lang=en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sb.gov.lv/skoleniem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urbane\Desktop\Skol&#275;nu%20st&#363;r&#299;tis\Iedz&#299;vot&#257;ji\Iedz&#299;vot&#257;ju%20skaita%20dinamika\Tabula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urbane\Desktop\Skol&#275;nu%20st&#363;r&#299;tis\Iedz&#299;vot&#257;ji\Iedz&#299;vot&#257;ju%20skaita%20dinamika\Tabulas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lv-LV" sz="1200" b="1">
                <a:effectLst/>
              </a:rPr>
              <a:t>Iedzīvotāju skaita izmaiņas Latvijā</a:t>
            </a:r>
            <a:r>
              <a:rPr lang="lv-LV" sz="1200" b="1" baseline="0">
                <a:effectLst/>
              </a:rPr>
              <a:t> </a:t>
            </a:r>
            <a:r>
              <a:rPr lang="lv-LV" sz="1200" b="1">
                <a:effectLst/>
              </a:rPr>
              <a:t>gada sākumā</a:t>
            </a:r>
          </a:p>
        </c:rich>
      </c:tx>
      <c:layout>
        <c:manualLayout>
          <c:xMode val="edge"/>
          <c:yMode val="edge"/>
          <c:x val="0.25341895194135217"/>
          <c:y val="2.774558461478193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v-LV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'IRS030'!$A$5</c:f>
              <c:strCache>
                <c:ptCount val="1"/>
                <c:pt idx="0">
                  <c:v>Dabiskais pieaugums</c:v>
                </c:pt>
              </c:strCache>
            </c:strRef>
          </c:tx>
          <c:spPr>
            <a:solidFill>
              <a:srgbClr val="3376C4"/>
            </a:solidFill>
            <a:ln>
              <a:noFill/>
            </a:ln>
            <a:effectLst/>
          </c:spPr>
          <c:invertIfNegative val="0"/>
          <c:cat>
            <c:strRef>
              <c:f>'IRS030'!$B$4:$N$4</c:f>
              <c:strCache>
                <c:ptCount val="13"/>
                <c:pt idx="0">
                  <c:v>1967</c:v>
                </c:pt>
                <c:pt idx="1">
                  <c:v>1970</c:v>
                </c:pt>
                <c:pt idx="2">
                  <c:v>1975</c:v>
                </c:pt>
                <c:pt idx="3">
                  <c:v>1980</c:v>
                </c:pt>
                <c:pt idx="4">
                  <c:v>1985</c:v>
                </c:pt>
                <c:pt idx="5">
                  <c:v>1990</c:v>
                </c:pt>
                <c:pt idx="6">
                  <c:v>1995</c:v>
                </c:pt>
                <c:pt idx="7">
                  <c:v>2000</c:v>
                </c:pt>
                <c:pt idx="8">
                  <c:v>2005</c:v>
                </c:pt>
                <c:pt idx="9">
                  <c:v>2010</c:v>
                </c:pt>
                <c:pt idx="10">
                  <c:v>2015</c:v>
                </c:pt>
                <c:pt idx="11">
                  <c:v>2020</c:v>
                </c:pt>
                <c:pt idx="12">
                  <c:v>2021</c:v>
                </c:pt>
              </c:strCache>
            </c:strRef>
          </c:cat>
          <c:val>
            <c:numRef>
              <c:f>'IRS030'!$B$5:$M$5</c:f>
              <c:numCache>
                <c:formatCode>0</c:formatCode>
                <c:ptCount val="12"/>
                <c:pt idx="0">
                  <c:v>7870</c:v>
                </c:pt>
                <c:pt idx="1">
                  <c:v>7787</c:v>
                </c:pt>
                <c:pt idx="2">
                  <c:v>4768</c:v>
                </c:pt>
                <c:pt idx="3">
                  <c:v>3434</c:v>
                </c:pt>
                <c:pt idx="4">
                  <c:v>5585</c:v>
                </c:pt>
                <c:pt idx="5">
                  <c:v>3106</c:v>
                </c:pt>
                <c:pt idx="6">
                  <c:v>-17336</c:v>
                </c:pt>
                <c:pt idx="7">
                  <c:v>-11903</c:v>
                </c:pt>
                <c:pt idx="8">
                  <c:v>-10898</c:v>
                </c:pt>
                <c:pt idx="9">
                  <c:v>-10259</c:v>
                </c:pt>
                <c:pt idx="10">
                  <c:v>-6499</c:v>
                </c:pt>
                <c:pt idx="11">
                  <c:v>-11302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697-4477-8A0C-DE4FB9EBEC7C}"/>
            </c:ext>
          </c:extLst>
        </c:ser>
        <c:ser>
          <c:idx val="1"/>
          <c:order val="1"/>
          <c:tx>
            <c:strRef>
              <c:f>'IRS030'!$A$6</c:f>
              <c:strCache>
                <c:ptCount val="1"/>
                <c:pt idx="0">
                  <c:v>Migrācijas saldo</c:v>
                </c:pt>
              </c:strCache>
            </c:strRef>
          </c:tx>
          <c:spPr>
            <a:solidFill>
              <a:srgbClr val="D3800F"/>
            </a:solidFill>
            <a:ln>
              <a:noFill/>
            </a:ln>
            <a:effectLst/>
          </c:spPr>
          <c:invertIfNegative val="0"/>
          <c:cat>
            <c:strRef>
              <c:f>'IRS030'!$B$4:$N$4</c:f>
              <c:strCache>
                <c:ptCount val="13"/>
                <c:pt idx="0">
                  <c:v>1967</c:v>
                </c:pt>
                <c:pt idx="1">
                  <c:v>1970</c:v>
                </c:pt>
                <c:pt idx="2">
                  <c:v>1975</c:v>
                </c:pt>
                <c:pt idx="3">
                  <c:v>1980</c:v>
                </c:pt>
                <c:pt idx="4">
                  <c:v>1985</c:v>
                </c:pt>
                <c:pt idx="5">
                  <c:v>1990</c:v>
                </c:pt>
                <c:pt idx="6">
                  <c:v>1995</c:v>
                </c:pt>
                <c:pt idx="7">
                  <c:v>2000</c:v>
                </c:pt>
                <c:pt idx="8">
                  <c:v>2005</c:v>
                </c:pt>
                <c:pt idx="9">
                  <c:v>2010</c:v>
                </c:pt>
                <c:pt idx="10">
                  <c:v>2015</c:v>
                </c:pt>
                <c:pt idx="11">
                  <c:v>2020</c:v>
                </c:pt>
                <c:pt idx="12">
                  <c:v>2021</c:v>
                </c:pt>
              </c:strCache>
            </c:strRef>
          </c:cat>
          <c:val>
            <c:numRef>
              <c:f>'IRS030'!$B$6:$M$6</c:f>
              <c:numCache>
                <c:formatCode>0</c:formatCode>
                <c:ptCount val="12"/>
                <c:pt idx="0">
                  <c:v>15280</c:v>
                </c:pt>
                <c:pt idx="1">
                  <c:v>6734</c:v>
                </c:pt>
                <c:pt idx="2">
                  <c:v>12031</c:v>
                </c:pt>
                <c:pt idx="3">
                  <c:v>2445</c:v>
                </c:pt>
                <c:pt idx="4">
                  <c:v>12101</c:v>
                </c:pt>
                <c:pt idx="5">
                  <c:v>-13085</c:v>
                </c:pt>
                <c:pt idx="6">
                  <c:v>-13713</c:v>
                </c:pt>
                <c:pt idx="7">
                  <c:v>-16428</c:v>
                </c:pt>
                <c:pt idx="8">
                  <c:v>-10952</c:v>
                </c:pt>
                <c:pt idx="9">
                  <c:v>-35640</c:v>
                </c:pt>
                <c:pt idx="10">
                  <c:v>-10640</c:v>
                </c:pt>
                <c:pt idx="11">
                  <c:v>-3150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697-4477-8A0C-DE4FB9EBEC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814428815"/>
        <c:axId val="814375567"/>
      </c:barChart>
      <c:lineChart>
        <c:grouping val="standard"/>
        <c:varyColors val="0"/>
        <c:ser>
          <c:idx val="2"/>
          <c:order val="2"/>
          <c:tx>
            <c:strRef>
              <c:f>'IRS030'!$A$7</c:f>
              <c:strCache>
                <c:ptCount val="1"/>
                <c:pt idx="0">
                  <c:v>Iedzīvotāju skaita izmaiņas</c:v>
                </c:pt>
              </c:strCache>
            </c:strRef>
          </c:tx>
          <c:spPr>
            <a:ln w="41275" cap="rnd">
              <a:solidFill>
                <a:srgbClr val="94590A"/>
              </a:solidFill>
              <a:round/>
            </a:ln>
            <a:effectLst/>
          </c:spPr>
          <c:marker>
            <c:symbol val="none"/>
          </c:marker>
          <c:cat>
            <c:strRef>
              <c:f>'IRS030'!$B$4:$M$4</c:f>
              <c:strCache>
                <c:ptCount val="12"/>
                <c:pt idx="0">
                  <c:v>1967</c:v>
                </c:pt>
                <c:pt idx="1">
                  <c:v>1970</c:v>
                </c:pt>
                <c:pt idx="2">
                  <c:v>1975</c:v>
                </c:pt>
                <c:pt idx="3">
                  <c:v>1980</c:v>
                </c:pt>
                <c:pt idx="4">
                  <c:v>1985</c:v>
                </c:pt>
                <c:pt idx="5">
                  <c:v>1990</c:v>
                </c:pt>
                <c:pt idx="6">
                  <c:v>1995</c:v>
                </c:pt>
                <c:pt idx="7">
                  <c:v>2000</c:v>
                </c:pt>
                <c:pt idx="8">
                  <c:v>2005</c:v>
                </c:pt>
                <c:pt idx="9">
                  <c:v>2010</c:v>
                </c:pt>
                <c:pt idx="10">
                  <c:v>2015</c:v>
                </c:pt>
                <c:pt idx="11">
                  <c:v>2020</c:v>
                </c:pt>
              </c:strCache>
            </c:strRef>
          </c:cat>
          <c:val>
            <c:numRef>
              <c:f>'IRS030'!$B$7:$M$7</c:f>
              <c:numCache>
                <c:formatCode>0</c:formatCode>
                <c:ptCount val="12"/>
                <c:pt idx="0">
                  <c:v>23150</c:v>
                </c:pt>
                <c:pt idx="1">
                  <c:v>14521</c:v>
                </c:pt>
                <c:pt idx="2">
                  <c:v>16799</c:v>
                </c:pt>
                <c:pt idx="3">
                  <c:v>5879</c:v>
                </c:pt>
                <c:pt idx="4">
                  <c:v>17686</c:v>
                </c:pt>
                <c:pt idx="5">
                  <c:v>-9979</c:v>
                </c:pt>
                <c:pt idx="6">
                  <c:v>-31049</c:v>
                </c:pt>
                <c:pt idx="7">
                  <c:v>-28331</c:v>
                </c:pt>
                <c:pt idx="8">
                  <c:v>-21850</c:v>
                </c:pt>
                <c:pt idx="9">
                  <c:v>-45899</c:v>
                </c:pt>
                <c:pt idx="10">
                  <c:v>-17139</c:v>
                </c:pt>
                <c:pt idx="11">
                  <c:v>-14452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8697-4477-8A0C-DE4FB9EBEC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14428815"/>
        <c:axId val="814375567"/>
      </c:lineChart>
      <c:catAx>
        <c:axId val="81442881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814375567"/>
        <c:crosses val="autoZero"/>
        <c:auto val="1"/>
        <c:lblAlgn val="ctr"/>
        <c:lblOffset val="100"/>
        <c:noMultiLvlLbl val="0"/>
      </c:catAx>
      <c:valAx>
        <c:axId val="81437556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81442881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v-L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rgbClr val="E1EBF7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v-L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lv-LV" sz="1200" b="1">
                <a:effectLst/>
              </a:rPr>
              <a:t>Iedzīvotāju skaita izmaiņas Eiropas Savienībā un</a:t>
            </a:r>
            <a:r>
              <a:rPr lang="lv-LV" sz="1200" b="1" baseline="0">
                <a:effectLst/>
              </a:rPr>
              <a:t> </a:t>
            </a:r>
            <a:r>
              <a:rPr lang="lv-LV" sz="1200" b="1">
                <a:effectLst/>
              </a:rPr>
              <a:t>Apvienotajā Karalistē</a:t>
            </a:r>
            <a:r>
              <a:rPr lang="lv-LV" sz="1200" b="0" baseline="0">
                <a:effectLst/>
              </a:rPr>
              <a:t> </a:t>
            </a:r>
            <a:r>
              <a:rPr lang="lv-LV" sz="1200" b="1">
                <a:effectLst/>
              </a:rPr>
              <a:t>(uz 1 000 iedzīvotāju)</a:t>
            </a:r>
            <a:endParaRPr lang="lv-LV" sz="1200">
              <a:effectLst/>
            </a:endParaRPr>
          </a:p>
        </c:rich>
      </c:tx>
      <c:layout>
        <c:manualLayout>
          <c:xMode val="edge"/>
          <c:yMode val="edge"/>
          <c:x val="0.16593044619422573"/>
          <c:y val="2.780996523754345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v-LV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Eurostat!$A$17</c:f>
              <c:strCache>
                <c:ptCount val="1"/>
                <c:pt idx="0">
                  <c:v>Eiropas savienība</c:v>
                </c:pt>
              </c:strCache>
            </c:strRef>
          </c:tx>
          <c:spPr>
            <a:ln w="28575" cap="rnd">
              <a:solidFill>
                <a:srgbClr val="3376C4"/>
              </a:solidFill>
              <a:round/>
            </a:ln>
            <a:effectLst/>
          </c:spPr>
          <c:marker>
            <c:symbol val="none"/>
          </c:marker>
          <c:cat>
            <c:numRef>
              <c:f>Eurostat!$B$16:$BJ$16</c:f>
              <c:numCache>
                <c:formatCode>General</c:formatCode>
                <c:ptCount val="61"/>
                <c:pt idx="0">
                  <c:v>1960</c:v>
                </c:pt>
                <c:pt idx="1">
                  <c:v>1961</c:v>
                </c:pt>
                <c:pt idx="2">
                  <c:v>1962</c:v>
                </c:pt>
                <c:pt idx="3">
                  <c:v>1963</c:v>
                </c:pt>
                <c:pt idx="4">
                  <c:v>1964</c:v>
                </c:pt>
                <c:pt idx="5">
                  <c:v>1965</c:v>
                </c:pt>
                <c:pt idx="6">
                  <c:v>1966</c:v>
                </c:pt>
                <c:pt idx="7">
                  <c:v>1967</c:v>
                </c:pt>
                <c:pt idx="8">
                  <c:v>1968</c:v>
                </c:pt>
                <c:pt idx="9">
                  <c:v>1969</c:v>
                </c:pt>
                <c:pt idx="10">
                  <c:v>1970</c:v>
                </c:pt>
                <c:pt idx="11">
                  <c:v>1971</c:v>
                </c:pt>
                <c:pt idx="12">
                  <c:v>1972</c:v>
                </c:pt>
                <c:pt idx="13">
                  <c:v>1973</c:v>
                </c:pt>
                <c:pt idx="14">
                  <c:v>1974</c:v>
                </c:pt>
                <c:pt idx="15">
                  <c:v>1975</c:v>
                </c:pt>
                <c:pt idx="16">
                  <c:v>1976</c:v>
                </c:pt>
                <c:pt idx="17">
                  <c:v>1977</c:v>
                </c:pt>
                <c:pt idx="18">
                  <c:v>1978</c:v>
                </c:pt>
                <c:pt idx="19">
                  <c:v>1979</c:v>
                </c:pt>
                <c:pt idx="20">
                  <c:v>1980</c:v>
                </c:pt>
                <c:pt idx="21">
                  <c:v>1981</c:v>
                </c:pt>
                <c:pt idx="22">
                  <c:v>1982</c:v>
                </c:pt>
                <c:pt idx="23">
                  <c:v>1983</c:v>
                </c:pt>
                <c:pt idx="24">
                  <c:v>1984</c:v>
                </c:pt>
                <c:pt idx="25">
                  <c:v>1985</c:v>
                </c:pt>
                <c:pt idx="26">
                  <c:v>1986</c:v>
                </c:pt>
                <c:pt idx="27">
                  <c:v>1987</c:v>
                </c:pt>
                <c:pt idx="28">
                  <c:v>1988</c:v>
                </c:pt>
                <c:pt idx="29">
                  <c:v>1989</c:v>
                </c:pt>
                <c:pt idx="30">
                  <c:v>1990</c:v>
                </c:pt>
                <c:pt idx="31">
                  <c:v>1991</c:v>
                </c:pt>
                <c:pt idx="32">
                  <c:v>1992</c:v>
                </c:pt>
                <c:pt idx="33">
                  <c:v>1993</c:v>
                </c:pt>
                <c:pt idx="34">
                  <c:v>1994</c:v>
                </c:pt>
                <c:pt idx="35">
                  <c:v>1995</c:v>
                </c:pt>
                <c:pt idx="36">
                  <c:v>1996</c:v>
                </c:pt>
                <c:pt idx="37">
                  <c:v>1997</c:v>
                </c:pt>
                <c:pt idx="38">
                  <c:v>1998</c:v>
                </c:pt>
                <c:pt idx="39">
                  <c:v>1999</c:v>
                </c:pt>
                <c:pt idx="40">
                  <c:v>2000</c:v>
                </c:pt>
                <c:pt idx="41">
                  <c:v>2001</c:v>
                </c:pt>
                <c:pt idx="42">
                  <c:v>2002</c:v>
                </c:pt>
                <c:pt idx="43">
                  <c:v>2003</c:v>
                </c:pt>
                <c:pt idx="44">
                  <c:v>2004</c:v>
                </c:pt>
                <c:pt idx="45">
                  <c:v>2005</c:v>
                </c:pt>
                <c:pt idx="46">
                  <c:v>2006</c:v>
                </c:pt>
                <c:pt idx="47">
                  <c:v>2007</c:v>
                </c:pt>
                <c:pt idx="48">
                  <c:v>2008</c:v>
                </c:pt>
                <c:pt idx="49">
                  <c:v>2009</c:v>
                </c:pt>
                <c:pt idx="50">
                  <c:v>2010</c:v>
                </c:pt>
                <c:pt idx="51">
                  <c:v>2011</c:v>
                </c:pt>
                <c:pt idx="52">
                  <c:v>2012</c:v>
                </c:pt>
                <c:pt idx="53">
                  <c:v>2013</c:v>
                </c:pt>
                <c:pt idx="54">
                  <c:v>2014</c:v>
                </c:pt>
                <c:pt idx="55">
                  <c:v>2015</c:v>
                </c:pt>
                <c:pt idx="56">
                  <c:v>2016</c:v>
                </c:pt>
                <c:pt idx="57">
                  <c:v>2017</c:v>
                </c:pt>
                <c:pt idx="58">
                  <c:v>2018</c:v>
                </c:pt>
                <c:pt idx="59">
                  <c:v>2019</c:v>
                </c:pt>
                <c:pt idx="60">
                  <c:v>2020</c:v>
                </c:pt>
              </c:numCache>
            </c:numRef>
          </c:cat>
          <c:val>
            <c:numRef>
              <c:f>Eurostat!$B$17:$BJ$17</c:f>
              <c:numCache>
                <c:formatCode>#,##0.##########</c:formatCode>
                <c:ptCount val="61"/>
                <c:pt idx="0">
                  <c:v>8.1</c:v>
                </c:pt>
                <c:pt idx="1">
                  <c:v>8.4</c:v>
                </c:pt>
                <c:pt idx="2">
                  <c:v>10.3</c:v>
                </c:pt>
                <c:pt idx="3">
                  <c:v>8.8000000000000007</c:v>
                </c:pt>
                <c:pt idx="4">
                  <c:v>8.6</c:v>
                </c:pt>
                <c:pt idx="5">
                  <c:v>7.9</c:v>
                </c:pt>
                <c:pt idx="6">
                  <c:v>7.7</c:v>
                </c:pt>
                <c:pt idx="7">
                  <c:v>7.3</c:v>
                </c:pt>
                <c:pt idx="8">
                  <c:v>6.7</c:v>
                </c:pt>
                <c:pt idx="9">
                  <c:v>7.1</c:v>
                </c:pt>
                <c:pt idx="10">
                  <c:v>4.2</c:v>
                </c:pt>
                <c:pt idx="11">
                  <c:v>6.8</c:v>
                </c:pt>
                <c:pt idx="12">
                  <c:v>6.7</c:v>
                </c:pt>
                <c:pt idx="13">
                  <c:v>6.2</c:v>
                </c:pt>
                <c:pt idx="14" formatCode="#,##0.0">
                  <c:v>5.8</c:v>
                </c:pt>
                <c:pt idx="15">
                  <c:v>5.5</c:v>
                </c:pt>
                <c:pt idx="16">
                  <c:v>4.8</c:v>
                </c:pt>
                <c:pt idx="17">
                  <c:v>4.8</c:v>
                </c:pt>
                <c:pt idx="18">
                  <c:v>4.4000000000000004</c:v>
                </c:pt>
                <c:pt idx="19">
                  <c:v>4.5</c:v>
                </c:pt>
                <c:pt idx="20" formatCode="#,##0.0">
                  <c:v>4.7</c:v>
                </c:pt>
                <c:pt idx="21">
                  <c:v>3.7</c:v>
                </c:pt>
                <c:pt idx="22">
                  <c:v>3</c:v>
                </c:pt>
                <c:pt idx="23">
                  <c:v>2.2000000000000002</c:v>
                </c:pt>
                <c:pt idx="24">
                  <c:v>2.2000000000000002</c:v>
                </c:pt>
                <c:pt idx="25">
                  <c:v>2.2999999999999998</c:v>
                </c:pt>
                <c:pt idx="26">
                  <c:v>2.9</c:v>
                </c:pt>
                <c:pt idx="27" formatCode="#,##0.0">
                  <c:v>2.7</c:v>
                </c:pt>
                <c:pt idx="28">
                  <c:v>3.6</c:v>
                </c:pt>
                <c:pt idx="29">
                  <c:v>3.2</c:v>
                </c:pt>
                <c:pt idx="30">
                  <c:v>3.5</c:v>
                </c:pt>
                <c:pt idx="31" formatCode="#,##0.0">
                  <c:v>2.2000000000000002</c:v>
                </c:pt>
                <c:pt idx="32">
                  <c:v>3.6</c:v>
                </c:pt>
                <c:pt idx="33">
                  <c:v>2.8</c:v>
                </c:pt>
                <c:pt idx="34">
                  <c:v>2</c:v>
                </c:pt>
                <c:pt idx="35">
                  <c:v>1.6</c:v>
                </c:pt>
                <c:pt idx="36">
                  <c:v>1.5</c:v>
                </c:pt>
                <c:pt idx="37">
                  <c:v>1.3</c:v>
                </c:pt>
                <c:pt idx="38">
                  <c:v>1.2</c:v>
                </c:pt>
                <c:pt idx="39">
                  <c:v>2</c:v>
                </c:pt>
                <c:pt idx="40">
                  <c:v>2.1</c:v>
                </c:pt>
                <c:pt idx="41">
                  <c:v>1.1000000000000001</c:v>
                </c:pt>
                <c:pt idx="42">
                  <c:v>3.4</c:v>
                </c:pt>
                <c:pt idx="43">
                  <c:v>3.6</c:v>
                </c:pt>
                <c:pt idx="44">
                  <c:v>3.8</c:v>
                </c:pt>
                <c:pt idx="45">
                  <c:v>3.2</c:v>
                </c:pt>
                <c:pt idx="46">
                  <c:v>3.2</c:v>
                </c:pt>
                <c:pt idx="47">
                  <c:v>3.5</c:v>
                </c:pt>
                <c:pt idx="48">
                  <c:v>3</c:v>
                </c:pt>
                <c:pt idx="49">
                  <c:v>1.7</c:v>
                </c:pt>
                <c:pt idx="50">
                  <c:v>1.7</c:v>
                </c:pt>
                <c:pt idx="51">
                  <c:v>1.4</c:v>
                </c:pt>
                <c:pt idx="52">
                  <c:v>1.6</c:v>
                </c:pt>
                <c:pt idx="53">
                  <c:v>1.6</c:v>
                </c:pt>
                <c:pt idx="54">
                  <c:v>1.8</c:v>
                </c:pt>
                <c:pt idx="55">
                  <c:v>2.6</c:v>
                </c:pt>
                <c:pt idx="56">
                  <c:v>1.6</c:v>
                </c:pt>
                <c:pt idx="57">
                  <c:v>1.5</c:v>
                </c:pt>
                <c:pt idx="58">
                  <c:v>1.7</c:v>
                </c:pt>
                <c:pt idx="59">
                  <c:v>2</c:v>
                </c:pt>
                <c:pt idx="60" formatCode="General">
                  <c:v>-0.7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3EB-4AE5-81B3-C267C7907746}"/>
            </c:ext>
          </c:extLst>
        </c:ser>
        <c:ser>
          <c:idx val="1"/>
          <c:order val="1"/>
          <c:tx>
            <c:strRef>
              <c:f>Eurostat!$A$18</c:f>
              <c:strCache>
                <c:ptCount val="1"/>
                <c:pt idx="0">
                  <c:v>Apvienotā karaliste</c:v>
                </c:pt>
              </c:strCache>
            </c:strRef>
          </c:tx>
          <c:spPr>
            <a:ln w="28575" cap="rnd">
              <a:solidFill>
                <a:srgbClr val="D3800F"/>
              </a:solidFill>
              <a:round/>
            </a:ln>
            <a:effectLst/>
          </c:spPr>
          <c:marker>
            <c:symbol val="none"/>
          </c:marker>
          <c:cat>
            <c:numRef>
              <c:f>Eurostat!$B$16:$BJ$16</c:f>
              <c:numCache>
                <c:formatCode>General</c:formatCode>
                <c:ptCount val="61"/>
                <c:pt idx="0">
                  <c:v>1960</c:v>
                </c:pt>
                <c:pt idx="1">
                  <c:v>1961</c:v>
                </c:pt>
                <c:pt idx="2">
                  <c:v>1962</c:v>
                </c:pt>
                <c:pt idx="3">
                  <c:v>1963</c:v>
                </c:pt>
                <c:pt idx="4">
                  <c:v>1964</c:v>
                </c:pt>
                <c:pt idx="5">
                  <c:v>1965</c:v>
                </c:pt>
                <c:pt idx="6">
                  <c:v>1966</c:v>
                </c:pt>
                <c:pt idx="7">
                  <c:v>1967</c:v>
                </c:pt>
                <c:pt idx="8">
                  <c:v>1968</c:v>
                </c:pt>
                <c:pt idx="9">
                  <c:v>1969</c:v>
                </c:pt>
                <c:pt idx="10">
                  <c:v>1970</c:v>
                </c:pt>
                <c:pt idx="11">
                  <c:v>1971</c:v>
                </c:pt>
                <c:pt idx="12">
                  <c:v>1972</c:v>
                </c:pt>
                <c:pt idx="13">
                  <c:v>1973</c:v>
                </c:pt>
                <c:pt idx="14">
                  <c:v>1974</c:v>
                </c:pt>
                <c:pt idx="15">
                  <c:v>1975</c:v>
                </c:pt>
                <c:pt idx="16">
                  <c:v>1976</c:v>
                </c:pt>
                <c:pt idx="17">
                  <c:v>1977</c:v>
                </c:pt>
                <c:pt idx="18">
                  <c:v>1978</c:v>
                </c:pt>
                <c:pt idx="19">
                  <c:v>1979</c:v>
                </c:pt>
                <c:pt idx="20">
                  <c:v>1980</c:v>
                </c:pt>
                <c:pt idx="21">
                  <c:v>1981</c:v>
                </c:pt>
                <c:pt idx="22">
                  <c:v>1982</c:v>
                </c:pt>
                <c:pt idx="23">
                  <c:v>1983</c:v>
                </c:pt>
                <c:pt idx="24">
                  <c:v>1984</c:v>
                </c:pt>
                <c:pt idx="25">
                  <c:v>1985</c:v>
                </c:pt>
                <c:pt idx="26">
                  <c:v>1986</c:v>
                </c:pt>
                <c:pt idx="27">
                  <c:v>1987</c:v>
                </c:pt>
                <c:pt idx="28">
                  <c:v>1988</c:v>
                </c:pt>
                <c:pt idx="29">
                  <c:v>1989</c:v>
                </c:pt>
                <c:pt idx="30">
                  <c:v>1990</c:v>
                </c:pt>
                <c:pt idx="31">
                  <c:v>1991</c:v>
                </c:pt>
                <c:pt idx="32">
                  <c:v>1992</c:v>
                </c:pt>
                <c:pt idx="33">
                  <c:v>1993</c:v>
                </c:pt>
                <c:pt idx="34">
                  <c:v>1994</c:v>
                </c:pt>
                <c:pt idx="35">
                  <c:v>1995</c:v>
                </c:pt>
                <c:pt idx="36">
                  <c:v>1996</c:v>
                </c:pt>
                <c:pt idx="37">
                  <c:v>1997</c:v>
                </c:pt>
                <c:pt idx="38">
                  <c:v>1998</c:v>
                </c:pt>
                <c:pt idx="39">
                  <c:v>1999</c:v>
                </c:pt>
                <c:pt idx="40">
                  <c:v>2000</c:v>
                </c:pt>
                <c:pt idx="41">
                  <c:v>2001</c:v>
                </c:pt>
                <c:pt idx="42">
                  <c:v>2002</c:v>
                </c:pt>
                <c:pt idx="43">
                  <c:v>2003</c:v>
                </c:pt>
                <c:pt idx="44">
                  <c:v>2004</c:v>
                </c:pt>
                <c:pt idx="45">
                  <c:v>2005</c:v>
                </c:pt>
                <c:pt idx="46">
                  <c:v>2006</c:v>
                </c:pt>
                <c:pt idx="47">
                  <c:v>2007</c:v>
                </c:pt>
                <c:pt idx="48">
                  <c:v>2008</c:v>
                </c:pt>
                <c:pt idx="49">
                  <c:v>2009</c:v>
                </c:pt>
                <c:pt idx="50">
                  <c:v>2010</c:v>
                </c:pt>
                <c:pt idx="51">
                  <c:v>2011</c:v>
                </c:pt>
                <c:pt idx="52">
                  <c:v>2012</c:v>
                </c:pt>
                <c:pt idx="53">
                  <c:v>2013</c:v>
                </c:pt>
                <c:pt idx="54">
                  <c:v>2014</c:v>
                </c:pt>
                <c:pt idx="55">
                  <c:v>2015</c:v>
                </c:pt>
                <c:pt idx="56">
                  <c:v>2016</c:v>
                </c:pt>
                <c:pt idx="57">
                  <c:v>2017</c:v>
                </c:pt>
                <c:pt idx="58">
                  <c:v>2018</c:v>
                </c:pt>
                <c:pt idx="59">
                  <c:v>2019</c:v>
                </c:pt>
                <c:pt idx="60">
                  <c:v>2020</c:v>
                </c:pt>
              </c:numCache>
            </c:numRef>
          </c:cat>
          <c:val>
            <c:numRef>
              <c:f>Eurostat!$B$18:$BJ$18</c:f>
              <c:numCache>
                <c:formatCode>#,##0.##########</c:formatCode>
                <c:ptCount val="61"/>
                <c:pt idx="0">
                  <c:v>7.6</c:v>
                </c:pt>
                <c:pt idx="1">
                  <c:v>7.6</c:v>
                </c:pt>
                <c:pt idx="2">
                  <c:v>9.4</c:v>
                </c:pt>
                <c:pt idx="3">
                  <c:v>5.6</c:v>
                </c:pt>
                <c:pt idx="4">
                  <c:v>7.4</c:v>
                </c:pt>
                <c:pt idx="5">
                  <c:v>5.4</c:v>
                </c:pt>
                <c:pt idx="6">
                  <c:v>5.6</c:v>
                </c:pt>
                <c:pt idx="7">
                  <c:v>5.2</c:v>
                </c:pt>
                <c:pt idx="8">
                  <c:v>4.5</c:v>
                </c:pt>
                <c:pt idx="9">
                  <c:v>3.8</c:v>
                </c:pt>
                <c:pt idx="10">
                  <c:v>4.2</c:v>
                </c:pt>
                <c:pt idx="11">
                  <c:v>4.2</c:v>
                </c:pt>
                <c:pt idx="12">
                  <c:v>2.6</c:v>
                </c:pt>
                <c:pt idx="13">
                  <c:v>1.2</c:v>
                </c:pt>
                <c:pt idx="14" formatCode="#,##0.0">
                  <c:v>0</c:v>
                </c:pt>
                <c:pt idx="15">
                  <c:v>-0.2</c:v>
                </c:pt>
                <c:pt idx="16">
                  <c:v>-0.3</c:v>
                </c:pt>
                <c:pt idx="17">
                  <c:v>-0.3</c:v>
                </c:pt>
                <c:pt idx="18">
                  <c:v>0.4</c:v>
                </c:pt>
                <c:pt idx="19">
                  <c:v>1.3</c:v>
                </c:pt>
                <c:pt idx="20" formatCode="#,##0.0">
                  <c:v>1</c:v>
                </c:pt>
                <c:pt idx="21">
                  <c:v>-0.3</c:v>
                </c:pt>
                <c:pt idx="22">
                  <c:v>-0.4</c:v>
                </c:pt>
                <c:pt idx="23">
                  <c:v>1.1000000000000001</c:v>
                </c:pt>
                <c:pt idx="24">
                  <c:v>2.1</c:v>
                </c:pt>
                <c:pt idx="25">
                  <c:v>2.4</c:v>
                </c:pt>
                <c:pt idx="26">
                  <c:v>2.2000000000000002</c:v>
                </c:pt>
                <c:pt idx="27" formatCode="#,##0.0">
                  <c:v>2</c:v>
                </c:pt>
                <c:pt idx="28">
                  <c:v>2.4</c:v>
                </c:pt>
                <c:pt idx="29">
                  <c:v>2.8</c:v>
                </c:pt>
                <c:pt idx="30">
                  <c:v>3.2</c:v>
                </c:pt>
                <c:pt idx="31" formatCode="#,##0.0">
                  <c:v>3</c:v>
                </c:pt>
                <c:pt idx="32">
                  <c:v>2.4</c:v>
                </c:pt>
                <c:pt idx="33">
                  <c:v>2.4</c:v>
                </c:pt>
                <c:pt idx="34">
                  <c:v>2.7</c:v>
                </c:pt>
                <c:pt idx="35">
                  <c:v>2.6</c:v>
                </c:pt>
                <c:pt idx="36">
                  <c:v>2.5</c:v>
                </c:pt>
                <c:pt idx="37">
                  <c:v>2.7</c:v>
                </c:pt>
                <c:pt idx="38">
                  <c:v>3.2</c:v>
                </c:pt>
                <c:pt idx="39">
                  <c:v>3.5</c:v>
                </c:pt>
                <c:pt idx="40">
                  <c:v>3.6</c:v>
                </c:pt>
                <c:pt idx="41">
                  <c:v>4.0999999999999996</c:v>
                </c:pt>
                <c:pt idx="42">
                  <c:v>4.4000000000000004</c:v>
                </c:pt>
                <c:pt idx="43">
                  <c:v>4.9000000000000004</c:v>
                </c:pt>
                <c:pt idx="44">
                  <c:v>6.5</c:v>
                </c:pt>
                <c:pt idx="45">
                  <c:v>7.3</c:v>
                </c:pt>
                <c:pt idx="46">
                  <c:v>7.4</c:v>
                </c:pt>
                <c:pt idx="47">
                  <c:v>8.1</c:v>
                </c:pt>
                <c:pt idx="48">
                  <c:v>7.6</c:v>
                </c:pt>
                <c:pt idx="49">
                  <c:v>7.5</c:v>
                </c:pt>
                <c:pt idx="50">
                  <c:v>8.1999999999999993</c:v>
                </c:pt>
                <c:pt idx="51">
                  <c:v>7.5</c:v>
                </c:pt>
                <c:pt idx="52">
                  <c:v>6.4</c:v>
                </c:pt>
                <c:pt idx="53">
                  <c:v>6.4</c:v>
                </c:pt>
                <c:pt idx="54">
                  <c:v>7.8</c:v>
                </c:pt>
                <c:pt idx="55">
                  <c:v>8.1</c:v>
                </c:pt>
                <c:pt idx="56">
                  <c:v>7.1</c:v>
                </c:pt>
                <c:pt idx="57">
                  <c:v>6.5</c:v>
                </c:pt>
                <c:pt idx="58">
                  <c:v>5.6</c:v>
                </c:pt>
                <c:pt idx="59">
                  <c:v>5.7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3EB-4AE5-81B3-C267C790774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953089375"/>
        <c:axId val="953083551"/>
      </c:lineChart>
      <c:catAx>
        <c:axId val="95308937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953083551"/>
        <c:crosses val="autoZero"/>
        <c:auto val="1"/>
        <c:lblAlgn val="ctr"/>
        <c:lblOffset val="100"/>
        <c:noMultiLvlLbl val="0"/>
      </c:catAx>
      <c:valAx>
        <c:axId val="95308355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##########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95308937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v-L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rgbClr val="E1EBF7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v-L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70523-FFC3-4C77-9183-B6DF2FE5A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891</Words>
  <Characters>509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Iedzīvotāju skaita dinamika</vt:lpstr>
    </vt:vector>
  </TitlesOfParts>
  <Company>LR CSP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Iedzīvotāju skaita dinamika</dc:title>
  <dc:creator>GKuzmina</dc:creator>
  <cp:lastModifiedBy>Ieva Urbane</cp:lastModifiedBy>
  <cp:revision>11</cp:revision>
  <dcterms:created xsi:type="dcterms:W3CDTF">2018-09-27T09:13:00Z</dcterms:created>
  <dcterms:modified xsi:type="dcterms:W3CDTF">2021-07-23T07:47:00Z</dcterms:modified>
</cp:coreProperties>
</file>