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7236B" w14:textId="7D080A0F" w:rsidR="00343C84" w:rsidRDefault="00343C84" w:rsidP="00414461">
      <w:pPr>
        <w:spacing w:before="120" w:after="120"/>
        <w:jc w:val="both"/>
        <w:rPr>
          <w:rFonts w:asciiTheme="minorHAnsi" w:hAnsiTheme="minorHAnsi" w:cstheme="minorHAnsi"/>
          <w:b/>
          <w:sz w:val="22"/>
          <w:szCs w:val="22"/>
        </w:rPr>
      </w:pPr>
      <w:r w:rsidRPr="005F5DEF">
        <w:rPr>
          <w:rFonts w:asciiTheme="minorHAnsi" w:hAnsiTheme="minorHAnsi" w:cstheme="minorHAnsi"/>
          <w:b/>
          <w:noProof/>
          <w:sz w:val="22"/>
          <w:szCs w:val="22"/>
        </w:rPr>
        <w:drawing>
          <wp:anchor distT="0" distB="0" distL="114300" distR="114300" simplePos="0" relativeHeight="251658240" behindDoc="1" locked="0" layoutInCell="1" allowOverlap="1" wp14:anchorId="4AA174A2" wp14:editId="475BB723">
            <wp:simplePos x="0" y="0"/>
            <wp:positionH relativeFrom="column">
              <wp:posOffset>861474</wp:posOffset>
            </wp:positionH>
            <wp:positionV relativeFrom="paragraph">
              <wp:posOffset>84676</wp:posOffset>
            </wp:positionV>
            <wp:extent cx="3889449" cy="1809750"/>
            <wp:effectExtent l="0" t="0" r="0" b="0"/>
            <wp:wrapTight wrapText="bothSides">
              <wp:wrapPolygon edited="0">
                <wp:start x="0" y="0"/>
                <wp:lineTo x="0" y="21373"/>
                <wp:lineTo x="21477" y="21373"/>
                <wp:lineTo x="214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9449" cy="1809750"/>
                    </a:xfrm>
                    <a:prstGeom prst="rect">
                      <a:avLst/>
                    </a:prstGeom>
                  </pic:spPr>
                </pic:pic>
              </a:graphicData>
            </a:graphic>
          </wp:anchor>
        </w:drawing>
      </w:r>
    </w:p>
    <w:p w14:paraId="0B20FC1E" w14:textId="3876E4A6" w:rsidR="0030082F" w:rsidRDefault="0030082F" w:rsidP="00414461">
      <w:pPr>
        <w:spacing w:before="120" w:after="120"/>
        <w:jc w:val="both"/>
        <w:rPr>
          <w:rFonts w:asciiTheme="minorHAnsi" w:hAnsiTheme="minorHAnsi" w:cstheme="minorHAnsi"/>
          <w:b/>
          <w:sz w:val="22"/>
          <w:szCs w:val="22"/>
        </w:rPr>
      </w:pPr>
    </w:p>
    <w:p w14:paraId="442E903E" w14:textId="0E3ECC3D" w:rsidR="00343C84" w:rsidRDefault="00343C84" w:rsidP="00414461">
      <w:pPr>
        <w:spacing w:before="120" w:after="120"/>
        <w:jc w:val="both"/>
        <w:rPr>
          <w:rFonts w:asciiTheme="minorHAnsi" w:hAnsiTheme="minorHAnsi" w:cstheme="minorHAnsi"/>
          <w:b/>
          <w:sz w:val="22"/>
          <w:szCs w:val="22"/>
        </w:rPr>
      </w:pPr>
    </w:p>
    <w:p w14:paraId="1A2E0AA4" w14:textId="735AFE2E" w:rsidR="00343C84" w:rsidRDefault="00343C84" w:rsidP="00414461">
      <w:pPr>
        <w:spacing w:before="120" w:after="120"/>
        <w:jc w:val="both"/>
        <w:rPr>
          <w:rFonts w:asciiTheme="minorHAnsi" w:hAnsiTheme="minorHAnsi" w:cstheme="minorHAnsi"/>
          <w:b/>
          <w:sz w:val="22"/>
          <w:szCs w:val="22"/>
        </w:rPr>
      </w:pPr>
    </w:p>
    <w:p w14:paraId="04D62B4B" w14:textId="27478409" w:rsidR="00343C84" w:rsidRDefault="00343C84" w:rsidP="00414461">
      <w:pPr>
        <w:spacing w:before="120" w:after="120"/>
        <w:jc w:val="both"/>
        <w:rPr>
          <w:rFonts w:asciiTheme="minorHAnsi" w:hAnsiTheme="minorHAnsi" w:cstheme="minorHAnsi"/>
          <w:b/>
          <w:sz w:val="22"/>
          <w:szCs w:val="22"/>
        </w:rPr>
      </w:pPr>
    </w:p>
    <w:p w14:paraId="7DA1120D" w14:textId="273E7330" w:rsidR="00343C84" w:rsidRDefault="00343C84" w:rsidP="00414461">
      <w:pPr>
        <w:spacing w:before="120" w:after="120"/>
        <w:jc w:val="both"/>
        <w:rPr>
          <w:rFonts w:asciiTheme="minorHAnsi" w:hAnsiTheme="minorHAnsi" w:cstheme="minorHAnsi"/>
          <w:b/>
          <w:sz w:val="22"/>
          <w:szCs w:val="22"/>
        </w:rPr>
      </w:pPr>
    </w:p>
    <w:p w14:paraId="21D5B2A9" w14:textId="1E33B60B" w:rsidR="00343C84" w:rsidRDefault="00343C84" w:rsidP="00414461">
      <w:pPr>
        <w:spacing w:before="120" w:after="120"/>
        <w:jc w:val="both"/>
        <w:rPr>
          <w:rFonts w:asciiTheme="minorHAnsi" w:hAnsiTheme="minorHAnsi" w:cstheme="minorHAnsi"/>
          <w:b/>
          <w:sz w:val="22"/>
          <w:szCs w:val="22"/>
        </w:rPr>
      </w:pPr>
    </w:p>
    <w:p w14:paraId="40DB83C3" w14:textId="77777777" w:rsidR="00343C84" w:rsidRPr="005F5DEF" w:rsidRDefault="00343C84" w:rsidP="00414461">
      <w:pPr>
        <w:spacing w:before="120" w:after="120"/>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5023"/>
        <w:gridCol w:w="24"/>
        <w:gridCol w:w="18"/>
        <w:gridCol w:w="6"/>
        <w:gridCol w:w="4558"/>
      </w:tblGrid>
      <w:tr w:rsidR="007B6F3B" w:rsidRPr="005F5DEF" w14:paraId="0433D051" w14:textId="77777777" w:rsidTr="007B6F3B">
        <w:tc>
          <w:tcPr>
            <w:tcW w:w="5071" w:type="dxa"/>
            <w:gridSpan w:val="4"/>
          </w:tcPr>
          <w:p w14:paraId="41C9F348" w14:textId="3DB050FE" w:rsidR="00BA4AF2" w:rsidRPr="005F5DEF" w:rsidRDefault="00BA4AF2" w:rsidP="00414461">
            <w:pPr>
              <w:spacing w:before="120" w:after="120"/>
              <w:jc w:val="both"/>
              <w:rPr>
                <w:rFonts w:asciiTheme="minorHAnsi" w:hAnsiTheme="minorHAnsi" w:cstheme="minorHAnsi"/>
                <w:b/>
                <w:sz w:val="22"/>
                <w:szCs w:val="22"/>
              </w:rPr>
            </w:pPr>
            <w:r w:rsidRPr="005F5DEF">
              <w:rPr>
                <w:rFonts w:asciiTheme="minorHAnsi" w:hAnsiTheme="minorHAnsi" w:cstheme="minorHAnsi"/>
                <w:noProof/>
                <w:sz w:val="22"/>
                <w:szCs w:val="22"/>
              </w:rPr>
              <w:drawing>
                <wp:inline distT="0" distB="0" distL="0" distR="0" wp14:anchorId="301FFCE3" wp14:editId="1EA14E73">
                  <wp:extent cx="3041387" cy="1672937"/>
                  <wp:effectExtent l="0" t="0" r="698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5590" cy="1686250"/>
                          </a:xfrm>
                          <a:prstGeom prst="rect">
                            <a:avLst/>
                          </a:prstGeom>
                        </pic:spPr>
                      </pic:pic>
                    </a:graphicData>
                  </a:graphic>
                </wp:inline>
              </w:drawing>
            </w:r>
          </w:p>
        </w:tc>
        <w:tc>
          <w:tcPr>
            <w:tcW w:w="4558" w:type="dxa"/>
          </w:tcPr>
          <w:p w14:paraId="4C5F9FE1" w14:textId="68638552" w:rsidR="00BA4AF2" w:rsidRPr="005F5DEF" w:rsidRDefault="00BA4AF2" w:rsidP="00BA4AF2">
            <w:pPr>
              <w:spacing w:before="120" w:after="120"/>
              <w:rPr>
                <w:rFonts w:asciiTheme="minorHAnsi" w:hAnsiTheme="minorHAnsi" w:cstheme="minorHAnsi"/>
                <w:sz w:val="22"/>
                <w:szCs w:val="22"/>
              </w:rPr>
            </w:pPr>
            <w:bookmarkStart w:id="0" w:name="_Hlk778286"/>
            <w:r w:rsidRPr="005F5DEF">
              <w:rPr>
                <w:rFonts w:asciiTheme="minorHAnsi" w:hAnsiTheme="minorHAnsi" w:cstheme="minorHAnsi"/>
                <w:sz w:val="22"/>
                <w:szCs w:val="22"/>
              </w:rPr>
              <w:t xml:space="preserve">Informāciju par iedzīvotāju ekonomisko </w:t>
            </w:r>
            <w:commentRangeStart w:id="1"/>
            <w:r w:rsidRPr="005F5DEF">
              <w:rPr>
                <w:rFonts w:asciiTheme="minorHAnsi" w:hAnsiTheme="minorHAnsi" w:cstheme="minorHAnsi"/>
                <w:sz w:val="22"/>
                <w:szCs w:val="22"/>
              </w:rPr>
              <w:t>aktivitāti</w:t>
            </w:r>
            <w:commentRangeEnd w:id="1"/>
            <w:r w:rsidR="005429BA" w:rsidRPr="005F5DEF">
              <w:rPr>
                <w:rStyle w:val="CommentReference"/>
                <w:rFonts w:asciiTheme="minorHAnsi" w:hAnsiTheme="minorHAnsi" w:cstheme="minorHAnsi"/>
              </w:rPr>
              <w:commentReference w:id="1"/>
            </w:r>
            <w:r w:rsidRPr="005F5DEF">
              <w:rPr>
                <w:rFonts w:asciiTheme="minorHAnsi" w:hAnsiTheme="minorHAnsi" w:cstheme="minorHAnsi"/>
                <w:sz w:val="22"/>
                <w:szCs w:val="22"/>
              </w:rPr>
              <w:t xml:space="preserve"> iegūst no Darbaspēka </w:t>
            </w:r>
            <w:proofErr w:type="spellStart"/>
            <w:r w:rsidRPr="005F5DEF">
              <w:rPr>
                <w:rFonts w:asciiTheme="minorHAnsi" w:hAnsiTheme="minorHAnsi" w:cstheme="minorHAnsi"/>
                <w:sz w:val="22"/>
                <w:szCs w:val="22"/>
              </w:rPr>
              <w:t>apsekojuma</w:t>
            </w:r>
            <w:proofErr w:type="spellEnd"/>
            <w:r w:rsidRPr="005F5DEF">
              <w:rPr>
                <w:rFonts w:asciiTheme="minorHAnsi" w:hAnsiTheme="minorHAnsi" w:cstheme="minorHAnsi"/>
                <w:sz w:val="22"/>
                <w:szCs w:val="22"/>
              </w:rPr>
              <w:t xml:space="preserve">. Centrālā statistikas pārvalde Latvijā, kā arī citas Eiropas valstis veic šādu </w:t>
            </w:r>
            <w:proofErr w:type="spellStart"/>
            <w:r w:rsidRPr="005F5DEF">
              <w:rPr>
                <w:rFonts w:asciiTheme="minorHAnsi" w:hAnsiTheme="minorHAnsi" w:cstheme="minorHAnsi"/>
                <w:sz w:val="22"/>
                <w:szCs w:val="22"/>
              </w:rPr>
              <w:t>apsekojumu</w:t>
            </w:r>
            <w:proofErr w:type="spellEnd"/>
            <w:r w:rsidRPr="005F5DEF">
              <w:rPr>
                <w:rFonts w:asciiTheme="minorHAnsi" w:hAnsiTheme="minorHAnsi" w:cstheme="minorHAnsi"/>
                <w:sz w:val="22"/>
                <w:szCs w:val="22"/>
              </w:rPr>
              <w:t xml:space="preserve">. </w:t>
            </w:r>
            <w:proofErr w:type="spellStart"/>
            <w:r w:rsidRPr="005F5DEF">
              <w:rPr>
                <w:rFonts w:asciiTheme="minorHAnsi" w:hAnsiTheme="minorHAnsi" w:cstheme="minorHAnsi"/>
                <w:sz w:val="22"/>
                <w:szCs w:val="22"/>
              </w:rPr>
              <w:t>Apsekojumā</w:t>
            </w:r>
            <w:proofErr w:type="spellEnd"/>
            <w:r w:rsidRPr="005F5DEF">
              <w:rPr>
                <w:rFonts w:asciiTheme="minorHAnsi" w:hAnsiTheme="minorHAnsi" w:cstheme="minorHAnsi"/>
                <w:sz w:val="22"/>
                <w:szCs w:val="22"/>
              </w:rPr>
              <w:t xml:space="preserve"> iegūst informāciju par nodarbināto iedzīvotāju, bezdarbnieku un ekonomiski neaktīvo iedzīvotāju skaitu, nodarbināto iedzīvotāju sadalījumu pa nozarēm, profesijām, izglītības līmeņiem, nostrādāto stundu skaitu u.c. svarīgiem darba tirgu raksturojošiem rādītājiem. </w:t>
            </w:r>
            <w:proofErr w:type="spellStart"/>
            <w:r w:rsidRPr="005F5DEF">
              <w:rPr>
                <w:rFonts w:asciiTheme="minorHAnsi" w:hAnsiTheme="minorHAnsi" w:cstheme="minorHAnsi"/>
                <w:sz w:val="22"/>
                <w:szCs w:val="22"/>
              </w:rPr>
              <w:t>Apsekojums</w:t>
            </w:r>
            <w:proofErr w:type="spellEnd"/>
            <w:r w:rsidRPr="005F5DEF">
              <w:rPr>
                <w:rFonts w:asciiTheme="minorHAnsi" w:hAnsiTheme="minorHAnsi" w:cstheme="minorHAnsi"/>
                <w:sz w:val="22"/>
                <w:szCs w:val="22"/>
              </w:rPr>
              <w:t xml:space="preserve"> notiek katru nedēļu visu gadu. Gada laikā to veic aptuveni 16 tūkstošos mājsaimniecību, aptaujājot vairāk nekā 30 tūkstošus iedzīvotāju vecumā no 15 līdz 74 gadiem.</w:t>
            </w:r>
          </w:p>
          <w:bookmarkEnd w:id="0"/>
          <w:p w14:paraId="0B85478B" w14:textId="77777777" w:rsidR="00BA4AF2" w:rsidRPr="005F5DEF" w:rsidRDefault="00BA4AF2" w:rsidP="00BA4AF2">
            <w:pPr>
              <w:spacing w:before="120" w:after="120"/>
              <w:rPr>
                <w:rFonts w:asciiTheme="minorHAnsi" w:hAnsiTheme="minorHAnsi" w:cstheme="minorHAnsi"/>
                <w:sz w:val="22"/>
                <w:szCs w:val="22"/>
              </w:rPr>
            </w:pPr>
            <w:r w:rsidRPr="005F5DEF">
              <w:rPr>
                <w:rFonts w:asciiTheme="minorHAnsi" w:hAnsiTheme="minorHAnsi" w:cstheme="minorHAnsi"/>
                <w:b/>
                <w:sz w:val="22"/>
                <w:szCs w:val="22"/>
              </w:rPr>
              <w:t xml:space="preserve">Ekonomiski aktīvos iedzīvotājus </w:t>
            </w:r>
            <w:r w:rsidRPr="005F5DEF">
              <w:rPr>
                <w:rFonts w:asciiTheme="minorHAnsi" w:hAnsiTheme="minorHAnsi" w:cstheme="minorHAnsi"/>
                <w:sz w:val="22"/>
                <w:szCs w:val="22"/>
              </w:rPr>
              <w:t xml:space="preserve">jeb </w:t>
            </w:r>
            <w:r w:rsidRPr="005F5DEF">
              <w:rPr>
                <w:rFonts w:asciiTheme="minorHAnsi" w:hAnsiTheme="minorHAnsi" w:cstheme="minorHAnsi"/>
                <w:b/>
                <w:sz w:val="22"/>
                <w:szCs w:val="22"/>
              </w:rPr>
              <w:t xml:space="preserve">darbaspēku </w:t>
            </w:r>
            <w:r w:rsidRPr="005F5DEF">
              <w:rPr>
                <w:rFonts w:asciiTheme="minorHAnsi" w:hAnsiTheme="minorHAnsi" w:cstheme="minorHAnsi"/>
                <w:sz w:val="22"/>
                <w:szCs w:val="22"/>
              </w:rPr>
              <w:t xml:space="preserve">veido </w:t>
            </w:r>
            <w:r w:rsidRPr="005F5DEF">
              <w:rPr>
                <w:rFonts w:asciiTheme="minorHAnsi" w:hAnsiTheme="minorHAnsi" w:cstheme="minorHAnsi"/>
                <w:b/>
                <w:sz w:val="22"/>
                <w:szCs w:val="22"/>
              </w:rPr>
              <w:t>nodarbinātie</w:t>
            </w:r>
            <w:r w:rsidRPr="005F5DEF">
              <w:rPr>
                <w:rFonts w:asciiTheme="minorHAnsi" w:hAnsiTheme="minorHAnsi" w:cstheme="minorHAnsi"/>
                <w:sz w:val="22"/>
                <w:szCs w:val="22"/>
              </w:rPr>
              <w:t xml:space="preserve"> iedzīvotāji un</w:t>
            </w:r>
            <w:r w:rsidRPr="005F5DEF">
              <w:rPr>
                <w:rFonts w:asciiTheme="minorHAnsi" w:hAnsiTheme="minorHAnsi" w:cstheme="minorHAnsi"/>
                <w:b/>
                <w:sz w:val="22"/>
                <w:szCs w:val="22"/>
              </w:rPr>
              <w:t xml:space="preserve"> bezdarbnieki</w:t>
            </w:r>
            <w:r w:rsidRPr="005F5DEF">
              <w:rPr>
                <w:rFonts w:asciiTheme="minorHAnsi" w:hAnsiTheme="minorHAnsi" w:cstheme="minorHAnsi"/>
                <w:sz w:val="22"/>
                <w:szCs w:val="22"/>
              </w:rPr>
              <w:t>.</w:t>
            </w:r>
          </w:p>
          <w:p w14:paraId="131659F1" w14:textId="77777777" w:rsidR="00BA4AF2" w:rsidRPr="005F5DEF" w:rsidRDefault="00BA4AF2" w:rsidP="00BA4AF2">
            <w:pPr>
              <w:spacing w:before="120" w:after="120"/>
              <w:rPr>
                <w:rFonts w:asciiTheme="minorHAnsi" w:hAnsiTheme="minorHAnsi" w:cstheme="minorHAnsi"/>
                <w:sz w:val="22"/>
                <w:szCs w:val="22"/>
              </w:rPr>
            </w:pPr>
            <w:r w:rsidRPr="005F5DEF">
              <w:rPr>
                <w:rFonts w:asciiTheme="minorHAnsi" w:hAnsiTheme="minorHAnsi" w:cstheme="minorHAnsi"/>
                <w:bCs/>
                <w:sz w:val="22"/>
                <w:szCs w:val="22"/>
              </w:rPr>
              <w:t xml:space="preserve">Darbaspēka </w:t>
            </w:r>
            <w:proofErr w:type="spellStart"/>
            <w:r w:rsidRPr="005F5DEF">
              <w:rPr>
                <w:rFonts w:asciiTheme="minorHAnsi" w:hAnsiTheme="minorHAnsi" w:cstheme="minorHAnsi"/>
                <w:bCs/>
                <w:sz w:val="22"/>
                <w:szCs w:val="22"/>
              </w:rPr>
              <w:t>apsekojumā</w:t>
            </w:r>
            <w:proofErr w:type="spellEnd"/>
            <w:r w:rsidRPr="005F5DEF">
              <w:rPr>
                <w:rFonts w:asciiTheme="minorHAnsi" w:hAnsiTheme="minorHAnsi" w:cstheme="minorHAnsi"/>
                <w:bCs/>
                <w:sz w:val="22"/>
                <w:szCs w:val="22"/>
              </w:rPr>
              <w:t xml:space="preserve"> </w:t>
            </w:r>
            <w:r w:rsidRPr="005F5DEF">
              <w:rPr>
                <w:rFonts w:asciiTheme="minorHAnsi" w:hAnsiTheme="minorHAnsi" w:cstheme="minorHAnsi"/>
                <w:b/>
                <w:bCs/>
                <w:sz w:val="22"/>
                <w:szCs w:val="22"/>
              </w:rPr>
              <w:t>n</w:t>
            </w:r>
            <w:r w:rsidRPr="005F5DEF">
              <w:rPr>
                <w:rFonts w:asciiTheme="minorHAnsi" w:hAnsiTheme="minorHAnsi" w:cstheme="minorHAnsi"/>
                <w:b/>
                <w:sz w:val="22"/>
                <w:szCs w:val="22"/>
              </w:rPr>
              <w:t>odarbinātie iedzīvotāji</w:t>
            </w:r>
            <w:r w:rsidRPr="005F5DEF">
              <w:rPr>
                <w:rFonts w:asciiTheme="minorHAnsi" w:hAnsiTheme="minorHAnsi" w:cstheme="minorHAnsi"/>
                <w:sz w:val="22"/>
                <w:szCs w:val="22"/>
              </w:rPr>
              <w:t xml:space="preserve"> ir personas 15–74 gadu vecumā, kas veic jebkādu darbu par atlīdzību. Par nodarbinātajiem uzskata arī </w:t>
            </w:r>
            <w:proofErr w:type="spellStart"/>
            <w:r w:rsidRPr="005F5DEF">
              <w:rPr>
                <w:rFonts w:asciiTheme="minorHAnsi" w:hAnsiTheme="minorHAnsi" w:cstheme="minorHAnsi"/>
                <w:sz w:val="22"/>
                <w:szCs w:val="22"/>
              </w:rPr>
              <w:t>pašnodarbinātos</w:t>
            </w:r>
            <w:proofErr w:type="spellEnd"/>
            <w:r w:rsidRPr="005F5DEF">
              <w:rPr>
                <w:rFonts w:asciiTheme="minorHAnsi" w:hAnsiTheme="minorHAnsi" w:cstheme="minorHAnsi"/>
                <w:sz w:val="22"/>
                <w:szCs w:val="22"/>
              </w:rPr>
              <w:t>, grūtnieces un jaunās māmiņas vai tēvus, kas izmanto bērna kopšanas atvaļinājumu līdz trim mēnešiem un ja pēc atvaļinājuma beigām personai ir garantija atgriezties iepriekšējā darbavietā. Nodarbināto skaitā, ietver arī tās personas, kas iegūst vai ražo produkciju paši sev, ja tas viņiem ir nozīmīgs iztikas avots.</w:t>
            </w:r>
          </w:p>
          <w:p w14:paraId="5B85401A" w14:textId="77777777" w:rsidR="00BA4AF2" w:rsidRPr="005F5DEF" w:rsidRDefault="00BA4AF2" w:rsidP="00BA4AF2">
            <w:pPr>
              <w:spacing w:before="120" w:after="120"/>
              <w:rPr>
                <w:rFonts w:asciiTheme="minorHAnsi" w:hAnsiTheme="minorHAnsi" w:cstheme="minorHAnsi"/>
                <w:sz w:val="22"/>
                <w:szCs w:val="22"/>
              </w:rPr>
            </w:pPr>
            <w:r w:rsidRPr="005F5DEF">
              <w:rPr>
                <w:rFonts w:asciiTheme="minorHAnsi" w:hAnsiTheme="minorHAnsi" w:cstheme="minorHAnsi"/>
                <w:sz w:val="22"/>
                <w:szCs w:val="22"/>
              </w:rPr>
              <w:t xml:space="preserve">Par </w:t>
            </w:r>
            <w:r w:rsidRPr="005F5DEF">
              <w:rPr>
                <w:rFonts w:asciiTheme="minorHAnsi" w:hAnsiTheme="minorHAnsi" w:cstheme="minorHAnsi"/>
                <w:b/>
                <w:sz w:val="22"/>
                <w:szCs w:val="22"/>
              </w:rPr>
              <w:t>bezdarbniekiem</w:t>
            </w:r>
            <w:r w:rsidRPr="005F5DEF">
              <w:rPr>
                <w:rFonts w:asciiTheme="minorHAnsi" w:hAnsiTheme="minorHAnsi" w:cstheme="minorHAnsi"/>
                <w:sz w:val="22"/>
                <w:szCs w:val="22"/>
              </w:rPr>
              <w:t xml:space="preserve"> uzskatāmas personas vecumā no 15 līdz 74 gadiem, kas nekur nestrādā, bet aktīvi meklē darbu un darba atrašanas gadījumā būtu gatavas tuvāko divu nedēļu laikā sākt strādāt. Bezdarbnieku skaitā ir gan Nodarbinātības valsts aģentūrā reģistrētie bezdarbnieki, gan personas, kas meklē darbu, izmantojot citas darba meklēšanas iespējas.</w:t>
            </w:r>
          </w:p>
          <w:p w14:paraId="7B86FA0D" w14:textId="21F8FF36" w:rsidR="00BA4AF2" w:rsidRPr="005F5DEF" w:rsidRDefault="00BA4AF2" w:rsidP="00BA4AF2">
            <w:pPr>
              <w:spacing w:before="120" w:after="120"/>
              <w:jc w:val="both"/>
              <w:rPr>
                <w:rFonts w:asciiTheme="minorHAnsi" w:hAnsiTheme="minorHAnsi" w:cstheme="minorHAnsi"/>
                <w:b/>
                <w:sz w:val="22"/>
                <w:szCs w:val="22"/>
              </w:rPr>
            </w:pPr>
            <w:r w:rsidRPr="005F5DEF">
              <w:rPr>
                <w:rFonts w:asciiTheme="minorHAnsi" w:hAnsiTheme="minorHAnsi" w:cstheme="minorHAnsi"/>
                <w:sz w:val="22"/>
                <w:szCs w:val="22"/>
              </w:rPr>
              <w:t xml:space="preserve">Bez nodarbinātajiem un bezdarbniekiem ir daļa iedzīvotāju, kas netiek uzskatīti par darbaspēku, </w:t>
            </w:r>
            <w:r w:rsidRPr="005F5DEF">
              <w:rPr>
                <w:rFonts w:asciiTheme="minorHAnsi" w:hAnsiTheme="minorHAnsi" w:cstheme="minorHAnsi"/>
                <w:sz w:val="22"/>
                <w:szCs w:val="22"/>
              </w:rPr>
              <w:lastRenderedPageBreak/>
              <w:t xml:space="preserve">un tie ir </w:t>
            </w:r>
            <w:r w:rsidRPr="005F5DEF">
              <w:rPr>
                <w:rFonts w:asciiTheme="minorHAnsi" w:hAnsiTheme="minorHAnsi" w:cstheme="minorHAnsi"/>
                <w:b/>
                <w:sz w:val="22"/>
                <w:szCs w:val="22"/>
              </w:rPr>
              <w:t>ekonomiski neaktīvie iedzīvotāji</w:t>
            </w:r>
            <w:r w:rsidRPr="005F5DEF">
              <w:rPr>
                <w:rFonts w:asciiTheme="minorHAnsi" w:hAnsiTheme="minorHAnsi" w:cstheme="minorHAnsi"/>
                <w:sz w:val="22"/>
                <w:szCs w:val="22"/>
              </w:rPr>
              <w:t>. Ekonomiski neaktīvie iedzīvotāji ir sabiedrības daļa, kas dažādu iemeslu dēļ (ilgstoša slimība, invaliditāte, mācības vai studijas, ģimenes apstākļi, pensionēšanās u.c.) neiesaistās darba tirgū. Arī brīvprātīgā darba veicēji ir ekonomiski neaktīvie iedzīvotāji, jo par darbu nesaņem atlīdzību un tādējādi neiesaistās darba tirgū.</w:t>
            </w:r>
          </w:p>
        </w:tc>
      </w:tr>
      <w:tr w:rsidR="007B6F3B" w:rsidRPr="005F5DEF" w14:paraId="2BF644F1" w14:textId="77777777" w:rsidTr="007B6F3B">
        <w:tc>
          <w:tcPr>
            <w:tcW w:w="5071" w:type="dxa"/>
            <w:gridSpan w:val="4"/>
          </w:tcPr>
          <w:p w14:paraId="52CB7630" w14:textId="0EFF3C56" w:rsidR="00BA4AF2" w:rsidRPr="005F5DEF" w:rsidRDefault="00893A5A" w:rsidP="00414461">
            <w:pPr>
              <w:spacing w:before="120" w:after="120"/>
              <w:jc w:val="both"/>
              <w:rPr>
                <w:rFonts w:asciiTheme="minorHAnsi" w:hAnsiTheme="minorHAnsi" w:cstheme="minorHAnsi"/>
                <w:b/>
                <w:sz w:val="22"/>
                <w:szCs w:val="22"/>
              </w:rPr>
            </w:pPr>
            <w:r w:rsidRPr="005F5DEF">
              <w:rPr>
                <w:rFonts w:asciiTheme="minorHAnsi" w:hAnsiTheme="minorHAnsi" w:cstheme="minorHAnsi"/>
                <w:b/>
                <w:noProof/>
                <w:sz w:val="22"/>
                <w:szCs w:val="22"/>
              </w:rPr>
              <w:lastRenderedPageBreak/>
              <w:drawing>
                <wp:inline distT="0" distB="0" distL="0" distR="0" wp14:anchorId="70975F8C" wp14:editId="66801808">
                  <wp:extent cx="3013364" cy="208073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54300" cy="2108997"/>
                          </a:xfrm>
                          <a:prstGeom prst="rect">
                            <a:avLst/>
                          </a:prstGeom>
                          <a:noFill/>
                          <a:ln>
                            <a:noFill/>
                          </a:ln>
                        </pic:spPr>
                      </pic:pic>
                    </a:graphicData>
                  </a:graphic>
                </wp:inline>
              </w:drawing>
            </w:r>
          </w:p>
        </w:tc>
        <w:tc>
          <w:tcPr>
            <w:tcW w:w="4558" w:type="dxa"/>
          </w:tcPr>
          <w:p w14:paraId="070AD036" w14:textId="24930912" w:rsidR="00BA4AF2" w:rsidRPr="005F5DEF" w:rsidRDefault="00BA4AF2" w:rsidP="00BA4AF2">
            <w:pPr>
              <w:spacing w:before="120" w:after="120"/>
              <w:rPr>
                <w:rFonts w:asciiTheme="minorHAnsi" w:hAnsiTheme="minorHAnsi" w:cstheme="minorHAnsi"/>
                <w:sz w:val="22"/>
                <w:szCs w:val="22"/>
              </w:rPr>
            </w:pPr>
            <w:r w:rsidRPr="005F5DEF">
              <w:rPr>
                <w:rFonts w:asciiTheme="minorHAnsi" w:hAnsiTheme="minorHAnsi" w:cstheme="minorHAnsi"/>
                <w:sz w:val="22"/>
                <w:szCs w:val="22"/>
              </w:rPr>
              <w:t>20</w:t>
            </w:r>
            <w:r w:rsidR="005429BA" w:rsidRPr="005F5DEF">
              <w:rPr>
                <w:rFonts w:asciiTheme="minorHAnsi" w:hAnsiTheme="minorHAnsi" w:cstheme="minorHAnsi"/>
                <w:sz w:val="22"/>
                <w:szCs w:val="22"/>
              </w:rPr>
              <w:t>2</w:t>
            </w:r>
            <w:r w:rsidR="00C83A36" w:rsidRPr="005F5DEF">
              <w:rPr>
                <w:rFonts w:asciiTheme="minorHAnsi" w:hAnsiTheme="minorHAnsi" w:cstheme="minorHAnsi"/>
                <w:sz w:val="22"/>
                <w:szCs w:val="22"/>
              </w:rPr>
              <w:t>0</w:t>
            </w:r>
            <w:r w:rsidRPr="005F5DEF">
              <w:rPr>
                <w:rFonts w:asciiTheme="minorHAnsi" w:hAnsiTheme="minorHAnsi" w:cstheme="minorHAnsi"/>
                <w:sz w:val="22"/>
                <w:szCs w:val="22"/>
              </w:rPr>
              <w:t>. gadā 6</w:t>
            </w:r>
            <w:r w:rsidR="00C83A36" w:rsidRPr="005F5DEF">
              <w:rPr>
                <w:rFonts w:asciiTheme="minorHAnsi" w:hAnsiTheme="minorHAnsi" w:cstheme="minorHAnsi"/>
                <w:sz w:val="22"/>
                <w:szCs w:val="22"/>
              </w:rPr>
              <w:t>9</w:t>
            </w:r>
            <w:r w:rsidRPr="005F5DEF">
              <w:rPr>
                <w:rFonts w:asciiTheme="minorHAnsi" w:hAnsiTheme="minorHAnsi" w:cstheme="minorHAnsi"/>
                <w:sz w:val="22"/>
                <w:szCs w:val="22"/>
              </w:rPr>
              <w:t xml:space="preserve">,9 % no Latvijas iedzīvotājiem bija ekonomiski aktīvi, un tas ir visaugstākais reģistrētais rādītājs kopš 1996. gada. Savukārt visvairāk ekonomiski neaktīvo iedzīvotāju bija 2000. gadā – </w:t>
            </w:r>
            <w:r w:rsidR="00C83A36" w:rsidRPr="005F5DEF">
              <w:rPr>
                <w:rFonts w:asciiTheme="minorHAnsi" w:hAnsiTheme="minorHAnsi" w:cstheme="minorHAnsi"/>
                <w:sz w:val="22"/>
                <w:szCs w:val="22"/>
              </w:rPr>
              <w:t>gandrīz</w:t>
            </w:r>
            <w:r w:rsidRPr="005F5DEF">
              <w:rPr>
                <w:rFonts w:asciiTheme="minorHAnsi" w:hAnsiTheme="minorHAnsi" w:cstheme="minorHAnsi"/>
                <w:sz w:val="22"/>
                <w:szCs w:val="22"/>
              </w:rPr>
              <w:t xml:space="preserve"> 40 % no iedzīvotājiem. </w:t>
            </w:r>
          </w:p>
          <w:p w14:paraId="7A3FB24A" w14:textId="68BBBC8B" w:rsidR="00DC7781" w:rsidRPr="005F5DEF" w:rsidRDefault="00DC7781" w:rsidP="00DC7781">
            <w:pPr>
              <w:spacing w:before="120" w:after="120"/>
              <w:rPr>
                <w:rFonts w:asciiTheme="minorHAnsi" w:hAnsiTheme="minorHAnsi" w:cstheme="minorHAnsi"/>
                <w:color w:val="000000"/>
                <w:sz w:val="22"/>
                <w:szCs w:val="22"/>
              </w:rPr>
            </w:pPr>
            <w:r>
              <w:rPr>
                <w:rFonts w:asciiTheme="minorHAnsi" w:hAnsiTheme="minorHAnsi" w:cstheme="minorHAnsi"/>
                <w:b/>
                <w:color w:val="000000"/>
                <w:sz w:val="22"/>
                <w:szCs w:val="22"/>
              </w:rPr>
              <w:t>Avots</w:t>
            </w:r>
            <w:r w:rsidRPr="005F5DEF">
              <w:rPr>
                <w:rFonts w:asciiTheme="minorHAnsi" w:hAnsiTheme="minorHAnsi" w:cstheme="minorHAnsi"/>
                <w:b/>
                <w:color w:val="000000"/>
                <w:sz w:val="22"/>
                <w:szCs w:val="22"/>
              </w:rPr>
              <w:t>:</w:t>
            </w:r>
            <w:r w:rsidRPr="005F5DEF">
              <w:rPr>
                <w:rFonts w:asciiTheme="minorHAnsi" w:hAnsiTheme="minorHAnsi" w:cstheme="minorHAnsi"/>
                <w:color w:val="000000"/>
                <w:sz w:val="22"/>
                <w:szCs w:val="22"/>
              </w:rPr>
              <w:t xml:space="preserve"> </w:t>
            </w:r>
            <w:hyperlink r:id="rId15" w:history="1">
              <w:r w:rsidRPr="000C775C">
                <w:rPr>
                  <w:rStyle w:val="Hyperlink"/>
                  <w:rFonts w:asciiTheme="minorHAnsi" w:hAnsiTheme="minorHAnsi" w:cstheme="minorHAnsi"/>
                  <w:sz w:val="22"/>
                  <w:szCs w:val="22"/>
                </w:rPr>
                <w:t xml:space="preserve">CSP datubāze </w:t>
              </w:r>
              <w:r w:rsidRPr="000C775C">
                <w:rPr>
                  <w:rStyle w:val="Hyperlink"/>
                  <w:rFonts w:asciiTheme="minorHAnsi" w:hAnsiTheme="minorHAnsi" w:cstheme="minorHAnsi"/>
                </w:rPr>
                <w:t>NBA010</w:t>
              </w:r>
              <w:r w:rsidRPr="000C775C">
                <w:rPr>
                  <w:rStyle w:val="Hyperlink"/>
                  <w:rFonts w:asciiTheme="minorHAnsi" w:hAnsiTheme="minorHAnsi" w:cstheme="minorHAnsi"/>
                  <w:sz w:val="22"/>
                  <w:szCs w:val="22"/>
                </w:rPr>
                <w:t>.</w:t>
              </w:r>
            </w:hyperlink>
            <w:r w:rsidRPr="005F5DEF">
              <w:rPr>
                <w:rFonts w:asciiTheme="minorHAnsi" w:hAnsiTheme="minorHAnsi" w:cstheme="minorHAnsi"/>
                <w:color w:val="000000"/>
                <w:sz w:val="22"/>
                <w:szCs w:val="22"/>
              </w:rPr>
              <w:t xml:space="preserve"> </w:t>
            </w:r>
          </w:p>
          <w:p w14:paraId="6281E335" w14:textId="77777777" w:rsidR="00BA4AF2" w:rsidRPr="005F5DEF" w:rsidRDefault="00BA4AF2" w:rsidP="00C83A36">
            <w:pPr>
              <w:spacing w:before="120" w:after="120"/>
              <w:rPr>
                <w:rFonts w:asciiTheme="minorHAnsi" w:hAnsiTheme="minorHAnsi" w:cstheme="minorHAnsi"/>
                <w:b/>
                <w:sz w:val="22"/>
                <w:szCs w:val="22"/>
              </w:rPr>
            </w:pPr>
          </w:p>
        </w:tc>
      </w:tr>
      <w:tr w:rsidR="00F7413E" w:rsidRPr="005F5DEF" w14:paraId="339E3ACF" w14:textId="77777777" w:rsidTr="00C55042">
        <w:tc>
          <w:tcPr>
            <w:tcW w:w="9629" w:type="dxa"/>
            <w:gridSpan w:val="5"/>
          </w:tcPr>
          <w:p w14:paraId="623202B1" w14:textId="19495C4C" w:rsidR="00F7413E" w:rsidRPr="005F5DEF" w:rsidRDefault="00C55042" w:rsidP="00BA4AF2">
            <w:pPr>
              <w:spacing w:before="120" w:after="120"/>
              <w:rPr>
                <w:rFonts w:asciiTheme="minorHAnsi" w:hAnsiTheme="minorHAnsi" w:cstheme="minorHAnsi"/>
                <w:sz w:val="22"/>
                <w:szCs w:val="22"/>
              </w:rPr>
            </w:pPr>
            <w:r>
              <w:rPr>
                <w:noProof/>
              </w:rPr>
              <w:drawing>
                <wp:inline distT="0" distB="0" distL="0" distR="0" wp14:anchorId="2E669D29" wp14:editId="165DD777">
                  <wp:extent cx="5956300" cy="2438400"/>
                  <wp:effectExtent l="0" t="0" r="6350" b="0"/>
                  <wp:docPr id="5" name="Chart 5">
                    <a:extLst xmlns:a="http://schemas.openxmlformats.org/drawingml/2006/main">
                      <a:ext uri="{FF2B5EF4-FFF2-40B4-BE49-F238E27FC236}">
                        <a16:creationId xmlns:a16="http://schemas.microsoft.com/office/drawing/2014/main" id="{77D2B31D-1EF2-4B5E-B5EA-07CCAEF443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7B6F3B" w:rsidRPr="005F5DEF" w14:paraId="14C7048E" w14:textId="77777777" w:rsidTr="007B6F3B">
        <w:tc>
          <w:tcPr>
            <w:tcW w:w="5071" w:type="dxa"/>
            <w:gridSpan w:val="4"/>
          </w:tcPr>
          <w:p w14:paraId="2D56DE80" w14:textId="77777777" w:rsidR="001A072C" w:rsidRPr="005F5DEF" w:rsidRDefault="001A072C" w:rsidP="00A53656">
            <w:pPr>
              <w:spacing w:before="120" w:after="120"/>
              <w:jc w:val="both"/>
              <w:rPr>
                <w:rFonts w:asciiTheme="minorHAnsi" w:hAnsiTheme="minorHAnsi" w:cstheme="minorHAnsi"/>
                <w:b/>
                <w:sz w:val="22"/>
                <w:szCs w:val="22"/>
              </w:rPr>
            </w:pPr>
            <w:r w:rsidRPr="005F5DEF">
              <w:rPr>
                <w:rFonts w:asciiTheme="minorHAnsi" w:hAnsiTheme="minorHAnsi" w:cstheme="minorHAnsi"/>
                <w:b/>
                <w:noProof/>
                <w:sz w:val="22"/>
                <w:szCs w:val="22"/>
              </w:rPr>
              <w:drawing>
                <wp:inline distT="0" distB="0" distL="0" distR="0" wp14:anchorId="36D7EE7F" wp14:editId="14E544F2">
                  <wp:extent cx="3023597" cy="2015836"/>
                  <wp:effectExtent l="0" t="0" r="5715"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53224" cy="2035588"/>
                          </a:xfrm>
                          <a:prstGeom prst="rect">
                            <a:avLst/>
                          </a:prstGeom>
                          <a:noFill/>
                          <a:ln>
                            <a:noFill/>
                          </a:ln>
                        </pic:spPr>
                      </pic:pic>
                    </a:graphicData>
                  </a:graphic>
                </wp:inline>
              </w:drawing>
            </w:r>
          </w:p>
        </w:tc>
        <w:tc>
          <w:tcPr>
            <w:tcW w:w="4558" w:type="dxa"/>
          </w:tcPr>
          <w:p w14:paraId="78A29A1B" w14:textId="77777777" w:rsidR="001A072C" w:rsidRPr="005F5DEF" w:rsidRDefault="001A072C" w:rsidP="00A53656">
            <w:pPr>
              <w:spacing w:before="120" w:after="120"/>
              <w:rPr>
                <w:rFonts w:asciiTheme="minorHAnsi" w:hAnsiTheme="minorHAnsi" w:cstheme="minorHAnsi"/>
                <w:color w:val="000000"/>
                <w:sz w:val="22"/>
                <w:szCs w:val="22"/>
              </w:rPr>
            </w:pPr>
            <w:r w:rsidRPr="005F5DEF">
              <w:rPr>
                <w:rFonts w:asciiTheme="minorHAnsi" w:hAnsiTheme="minorHAnsi" w:cstheme="minorHAnsi"/>
                <w:color w:val="000000"/>
                <w:sz w:val="22"/>
                <w:szCs w:val="22"/>
              </w:rPr>
              <w:t>2020. gadā Latvijā 893 tūkst. iedzīvotāju bija nodarbināti, bet 78,7 tūkst. bija bezdarbnieki.</w:t>
            </w:r>
          </w:p>
          <w:p w14:paraId="10FEF433" w14:textId="77777777" w:rsidR="001A072C" w:rsidRPr="005F5DEF" w:rsidRDefault="001A072C" w:rsidP="00A53656">
            <w:pPr>
              <w:spacing w:before="120" w:after="120"/>
              <w:rPr>
                <w:rFonts w:asciiTheme="minorHAnsi" w:hAnsiTheme="minorHAnsi" w:cstheme="minorHAnsi"/>
                <w:color w:val="000000"/>
                <w:sz w:val="22"/>
                <w:szCs w:val="22"/>
              </w:rPr>
            </w:pPr>
            <w:r w:rsidRPr="005F5DEF">
              <w:rPr>
                <w:rFonts w:asciiTheme="minorHAnsi" w:hAnsiTheme="minorHAnsi" w:cstheme="minorHAnsi"/>
                <w:b/>
                <w:bCs/>
                <w:color w:val="000000"/>
                <w:sz w:val="22"/>
                <w:szCs w:val="22"/>
              </w:rPr>
              <w:t>Avots:</w:t>
            </w:r>
            <w:r w:rsidRPr="005F5DEF">
              <w:rPr>
                <w:rFonts w:asciiTheme="minorHAnsi" w:hAnsiTheme="minorHAnsi" w:cstheme="minorHAnsi"/>
                <w:color w:val="000000"/>
                <w:sz w:val="22"/>
                <w:szCs w:val="22"/>
              </w:rPr>
              <w:t xml:space="preserve"> </w:t>
            </w:r>
            <w:hyperlink r:id="rId18" w:history="1">
              <w:r w:rsidRPr="005F5DEF">
                <w:rPr>
                  <w:rStyle w:val="Hyperlink"/>
                  <w:rFonts w:asciiTheme="minorHAnsi" w:hAnsiTheme="minorHAnsi" w:cstheme="minorHAnsi"/>
                  <w:sz w:val="22"/>
                  <w:szCs w:val="22"/>
                </w:rPr>
                <w:t xml:space="preserve">CSP datubāze </w:t>
              </w:r>
              <w:r w:rsidRPr="005F5DEF">
                <w:rPr>
                  <w:rStyle w:val="Hyperlink"/>
                  <w:rFonts w:asciiTheme="minorHAnsi" w:hAnsiTheme="minorHAnsi" w:cstheme="minorHAnsi"/>
                </w:rPr>
                <w:t>NBA010</w:t>
              </w:r>
            </w:hyperlink>
          </w:p>
          <w:p w14:paraId="1FEAFBB5" w14:textId="77777777" w:rsidR="001A072C" w:rsidRPr="005F5DEF" w:rsidRDefault="001A072C" w:rsidP="00A53656">
            <w:pPr>
              <w:spacing w:before="120" w:after="120"/>
              <w:jc w:val="both"/>
              <w:rPr>
                <w:rFonts w:asciiTheme="minorHAnsi" w:hAnsiTheme="minorHAnsi" w:cstheme="minorHAnsi"/>
                <w:b/>
                <w:sz w:val="22"/>
                <w:szCs w:val="22"/>
              </w:rPr>
            </w:pPr>
          </w:p>
        </w:tc>
      </w:tr>
      <w:tr w:rsidR="007B6F3B" w:rsidRPr="005F5DEF" w14:paraId="38AD150A" w14:textId="77777777" w:rsidTr="007B6F3B">
        <w:tc>
          <w:tcPr>
            <w:tcW w:w="5071" w:type="dxa"/>
            <w:gridSpan w:val="4"/>
          </w:tcPr>
          <w:p w14:paraId="32067F19" w14:textId="77777777" w:rsidR="001A072C" w:rsidRPr="005F5DEF" w:rsidRDefault="001A072C" w:rsidP="00A53656">
            <w:pPr>
              <w:spacing w:before="120" w:after="120"/>
              <w:jc w:val="both"/>
              <w:rPr>
                <w:rFonts w:asciiTheme="minorHAnsi" w:hAnsiTheme="minorHAnsi" w:cstheme="minorHAnsi"/>
                <w:b/>
                <w:sz w:val="22"/>
                <w:szCs w:val="22"/>
              </w:rPr>
            </w:pPr>
            <w:r w:rsidRPr="005F5DEF">
              <w:rPr>
                <w:rFonts w:asciiTheme="minorHAnsi" w:hAnsiTheme="minorHAnsi" w:cstheme="minorHAnsi"/>
                <w:b/>
                <w:noProof/>
                <w:sz w:val="22"/>
                <w:szCs w:val="22"/>
              </w:rPr>
              <w:lastRenderedPageBreak/>
              <w:drawing>
                <wp:inline distT="0" distB="0" distL="0" distR="0" wp14:anchorId="3A92C457" wp14:editId="2B8321F0">
                  <wp:extent cx="3045493" cy="1704109"/>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78967" cy="1722839"/>
                          </a:xfrm>
                          <a:prstGeom prst="rect">
                            <a:avLst/>
                          </a:prstGeom>
                          <a:noFill/>
                          <a:ln>
                            <a:noFill/>
                          </a:ln>
                        </pic:spPr>
                      </pic:pic>
                    </a:graphicData>
                  </a:graphic>
                </wp:inline>
              </w:drawing>
            </w:r>
          </w:p>
        </w:tc>
        <w:tc>
          <w:tcPr>
            <w:tcW w:w="4558" w:type="dxa"/>
          </w:tcPr>
          <w:p w14:paraId="180DAEB7" w14:textId="77777777" w:rsidR="001A072C" w:rsidRDefault="001A072C" w:rsidP="00A53656">
            <w:pPr>
              <w:spacing w:before="120" w:after="120"/>
              <w:rPr>
                <w:rFonts w:asciiTheme="minorHAnsi" w:hAnsiTheme="minorHAnsi" w:cstheme="minorHAnsi"/>
                <w:color w:val="000000"/>
                <w:sz w:val="22"/>
                <w:szCs w:val="22"/>
              </w:rPr>
            </w:pPr>
            <w:r w:rsidRPr="005F5DEF">
              <w:rPr>
                <w:rFonts w:asciiTheme="minorHAnsi" w:hAnsiTheme="minorHAnsi" w:cstheme="minorHAnsi"/>
                <w:color w:val="000000"/>
                <w:sz w:val="22"/>
                <w:szCs w:val="22"/>
              </w:rPr>
              <w:t xml:space="preserve">Vislielākais nodarbināto skaits bija 2007. gadā, kad algotu darbu strādāja vairāk par miljonu Latvijas iedzīvotāju. No 2008. gada ekonomiskās krīzes dēļ, pieauga bezdarbnieku skaits. Šī iemesla dēļ samazinājās nodarbināto skaits, sasniedzot viszemāko rādītāju 2010. gadā. Turklāt līdz 2008. gadam vairāk nodarbināti bija vīrieši, bet no 2009. gada sieviešu īpatsvars nodarbināto skaitā ir lielāks par vīriešu. Vislielākais sieviešu īpatsvars nodarbināto skaitā bija 2010. gadā – nepilni 53 %. </w:t>
            </w:r>
            <w:r w:rsidRPr="005F5DEF">
              <w:rPr>
                <w:rFonts w:asciiTheme="minorHAnsi" w:hAnsiTheme="minorHAnsi" w:cstheme="minorHAnsi"/>
                <w:color w:val="000000"/>
                <w:sz w:val="22"/>
                <w:szCs w:val="22"/>
              </w:rPr>
              <w:br/>
              <w:t xml:space="preserve">No 2020.gada atkal samazinās nodarbināto skaits </w:t>
            </w:r>
            <w:proofErr w:type="spellStart"/>
            <w:r w:rsidRPr="005F5DEF">
              <w:rPr>
                <w:rFonts w:asciiTheme="minorHAnsi" w:hAnsiTheme="minorHAnsi" w:cstheme="minorHAnsi"/>
                <w:color w:val="000000"/>
                <w:sz w:val="22"/>
                <w:szCs w:val="22"/>
              </w:rPr>
              <w:t>Covid</w:t>
            </w:r>
            <w:proofErr w:type="spellEnd"/>
            <w:r w:rsidRPr="005F5DEF">
              <w:rPr>
                <w:rFonts w:asciiTheme="minorHAnsi" w:hAnsiTheme="minorHAnsi" w:cstheme="minorHAnsi"/>
                <w:color w:val="000000"/>
                <w:sz w:val="22"/>
                <w:szCs w:val="22"/>
              </w:rPr>
              <w:t xml:space="preserve"> krīzes dēļ.</w:t>
            </w:r>
          </w:p>
          <w:p w14:paraId="3E46AECF" w14:textId="6397C95A" w:rsidR="00C55042" w:rsidRPr="005F5DEF" w:rsidRDefault="00C55042" w:rsidP="00A53656">
            <w:pPr>
              <w:spacing w:before="120" w:after="120"/>
              <w:rPr>
                <w:rFonts w:asciiTheme="minorHAnsi" w:hAnsiTheme="minorHAnsi" w:cstheme="minorHAnsi"/>
                <w:color w:val="000000"/>
                <w:sz w:val="22"/>
                <w:szCs w:val="22"/>
              </w:rPr>
            </w:pPr>
            <w:r>
              <w:rPr>
                <w:rFonts w:asciiTheme="minorHAnsi" w:hAnsiTheme="minorHAnsi" w:cstheme="minorHAnsi"/>
                <w:b/>
                <w:color w:val="000000"/>
                <w:sz w:val="22"/>
                <w:szCs w:val="22"/>
              </w:rPr>
              <w:t>Avots</w:t>
            </w:r>
            <w:r w:rsidRPr="005F5DEF">
              <w:rPr>
                <w:rFonts w:asciiTheme="minorHAnsi" w:hAnsiTheme="minorHAnsi" w:cstheme="minorHAnsi"/>
                <w:b/>
                <w:color w:val="000000"/>
                <w:sz w:val="22"/>
                <w:szCs w:val="22"/>
              </w:rPr>
              <w:t>:</w:t>
            </w:r>
            <w:r w:rsidRPr="005F5DEF">
              <w:rPr>
                <w:rFonts w:asciiTheme="minorHAnsi" w:hAnsiTheme="minorHAnsi" w:cstheme="minorHAnsi"/>
                <w:color w:val="000000"/>
                <w:sz w:val="22"/>
                <w:szCs w:val="22"/>
              </w:rPr>
              <w:t xml:space="preserve"> </w:t>
            </w:r>
            <w:hyperlink r:id="rId20" w:history="1">
              <w:r w:rsidRPr="005F5DEF">
                <w:rPr>
                  <w:rStyle w:val="Hyperlink"/>
                  <w:rFonts w:asciiTheme="minorHAnsi" w:hAnsiTheme="minorHAnsi" w:cstheme="minorHAnsi"/>
                  <w:sz w:val="22"/>
                  <w:szCs w:val="22"/>
                </w:rPr>
                <w:t xml:space="preserve">CSP datubāze </w:t>
              </w:r>
              <w:r w:rsidRPr="005F5DEF">
                <w:rPr>
                  <w:rStyle w:val="Hyperlink"/>
                  <w:rFonts w:asciiTheme="minorHAnsi" w:hAnsiTheme="minorHAnsi" w:cstheme="minorHAnsi"/>
                </w:rPr>
                <w:t>NBA010</w:t>
              </w:r>
            </w:hyperlink>
          </w:p>
        </w:tc>
      </w:tr>
      <w:tr w:rsidR="00C55042" w:rsidRPr="005F5DEF" w14:paraId="020534E2" w14:textId="77777777" w:rsidTr="00C55042">
        <w:tc>
          <w:tcPr>
            <w:tcW w:w="9629" w:type="dxa"/>
            <w:gridSpan w:val="5"/>
          </w:tcPr>
          <w:p w14:paraId="5FBA1D5C" w14:textId="18E8314A" w:rsidR="00C55042" w:rsidRPr="005F5DEF" w:rsidRDefault="00C55042" w:rsidP="00A53656">
            <w:pPr>
              <w:spacing w:before="120" w:after="120"/>
              <w:rPr>
                <w:rFonts w:asciiTheme="minorHAnsi" w:hAnsiTheme="minorHAnsi" w:cstheme="minorHAnsi"/>
                <w:color w:val="000000"/>
                <w:sz w:val="22"/>
                <w:szCs w:val="22"/>
              </w:rPr>
            </w:pPr>
            <w:r>
              <w:rPr>
                <w:noProof/>
              </w:rPr>
              <w:drawing>
                <wp:inline distT="0" distB="0" distL="0" distR="0" wp14:anchorId="1EB79D35" wp14:editId="57F6E824">
                  <wp:extent cx="5956300" cy="2438400"/>
                  <wp:effectExtent l="0" t="0" r="6350" b="0"/>
                  <wp:docPr id="7" name="Chart 7">
                    <a:extLst xmlns:a="http://schemas.openxmlformats.org/drawingml/2006/main">
                      <a:ext uri="{FF2B5EF4-FFF2-40B4-BE49-F238E27FC236}">
                        <a16:creationId xmlns:a16="http://schemas.microsoft.com/office/drawing/2014/main" id="{7E98C4B9-FFEC-4D68-9B60-702026399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7B6F3B" w:rsidRPr="005F5DEF" w14:paraId="3726DC85" w14:textId="77777777" w:rsidTr="007B6F3B">
        <w:tc>
          <w:tcPr>
            <w:tcW w:w="5071" w:type="dxa"/>
            <w:gridSpan w:val="4"/>
          </w:tcPr>
          <w:p w14:paraId="22B23387" w14:textId="77777777" w:rsidR="001A072C" w:rsidRPr="005F5DEF" w:rsidRDefault="001A072C" w:rsidP="00A53656">
            <w:pPr>
              <w:spacing w:before="120" w:after="120"/>
              <w:jc w:val="both"/>
              <w:rPr>
                <w:rFonts w:asciiTheme="minorHAnsi" w:hAnsiTheme="minorHAnsi" w:cstheme="minorHAnsi"/>
                <w:b/>
                <w:sz w:val="22"/>
                <w:szCs w:val="22"/>
              </w:rPr>
            </w:pPr>
            <w:r w:rsidRPr="005F5DEF">
              <w:rPr>
                <w:rFonts w:asciiTheme="minorHAnsi" w:hAnsiTheme="minorHAnsi" w:cstheme="minorHAnsi"/>
                <w:noProof/>
                <w:color w:val="000000"/>
                <w:sz w:val="22"/>
                <w:szCs w:val="22"/>
              </w:rPr>
              <w:drawing>
                <wp:inline distT="0" distB="0" distL="0" distR="0" wp14:anchorId="551703AF" wp14:editId="6EF528EA">
                  <wp:extent cx="3026923" cy="1693718"/>
                  <wp:effectExtent l="0" t="0" r="254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64799" cy="1714912"/>
                          </a:xfrm>
                          <a:prstGeom prst="rect">
                            <a:avLst/>
                          </a:prstGeom>
                          <a:noFill/>
                          <a:ln>
                            <a:noFill/>
                          </a:ln>
                        </pic:spPr>
                      </pic:pic>
                    </a:graphicData>
                  </a:graphic>
                </wp:inline>
              </w:drawing>
            </w:r>
          </w:p>
        </w:tc>
        <w:tc>
          <w:tcPr>
            <w:tcW w:w="4558" w:type="dxa"/>
          </w:tcPr>
          <w:p w14:paraId="4DD22896" w14:textId="77777777" w:rsidR="00C55042" w:rsidRPr="005F5DEF" w:rsidRDefault="001A072C" w:rsidP="00C55042">
            <w:pPr>
              <w:spacing w:before="120" w:after="120"/>
              <w:rPr>
                <w:rFonts w:asciiTheme="minorHAnsi" w:hAnsiTheme="minorHAnsi" w:cstheme="minorHAnsi"/>
                <w:color w:val="000000"/>
                <w:sz w:val="22"/>
                <w:szCs w:val="22"/>
              </w:rPr>
            </w:pPr>
            <w:r w:rsidRPr="005F5DEF">
              <w:rPr>
                <w:rFonts w:asciiTheme="minorHAnsi" w:hAnsiTheme="minorHAnsi" w:cstheme="minorHAnsi"/>
                <w:color w:val="000000"/>
                <w:sz w:val="22"/>
                <w:szCs w:val="22"/>
              </w:rPr>
              <w:t>Tā kā Latvijā iedzīvotāju skaits pēdējo 20 gadu laikā ir samazinājies, arī nodarbināto skaits samazinās. Tomēr nodarbināto iedzīvotāju īpatsvara jeb nodarbinātības līmeņa pieaugums liecina par to, ka arvien vairāk cilvēku Latvijā iesaistās darba tirgū. 1996. gadā nodarbinātības līmenis bija tikai 5</w:t>
            </w:r>
            <w:r w:rsidRPr="005F5DEF">
              <w:rPr>
                <w:rFonts w:asciiTheme="minorHAnsi" w:hAnsiTheme="minorHAnsi" w:cstheme="minorHAnsi"/>
                <w:color w:val="000000"/>
              </w:rPr>
              <w:t>1.1</w:t>
            </w:r>
            <w:r w:rsidRPr="005F5DEF">
              <w:rPr>
                <w:rFonts w:asciiTheme="minorHAnsi" w:hAnsiTheme="minorHAnsi" w:cstheme="minorHAnsi"/>
                <w:color w:val="000000"/>
                <w:sz w:val="22"/>
                <w:szCs w:val="22"/>
              </w:rPr>
              <w:t xml:space="preserve"> %, bet 202</w:t>
            </w:r>
            <w:r w:rsidRPr="005F5DEF">
              <w:rPr>
                <w:rFonts w:asciiTheme="minorHAnsi" w:hAnsiTheme="minorHAnsi" w:cstheme="minorHAnsi"/>
                <w:color w:val="000000"/>
              </w:rPr>
              <w:t>0</w:t>
            </w:r>
            <w:r w:rsidRPr="005F5DEF">
              <w:rPr>
                <w:rFonts w:asciiTheme="minorHAnsi" w:hAnsiTheme="minorHAnsi" w:cstheme="minorHAnsi"/>
                <w:color w:val="000000"/>
                <w:sz w:val="22"/>
                <w:szCs w:val="22"/>
              </w:rPr>
              <w:t>. gadā tas sasniedzis pēdējos 20 gados augstāko nodarbinātības līmeni – 6</w:t>
            </w:r>
            <w:r w:rsidRPr="005F5DEF">
              <w:rPr>
                <w:rFonts w:asciiTheme="minorHAnsi" w:hAnsiTheme="minorHAnsi" w:cstheme="minorHAnsi"/>
                <w:color w:val="000000"/>
              </w:rPr>
              <w:t>4.2</w:t>
            </w:r>
            <w:r w:rsidRPr="005F5DEF">
              <w:rPr>
                <w:rFonts w:asciiTheme="minorHAnsi" w:hAnsiTheme="minorHAnsi" w:cstheme="minorHAnsi"/>
                <w:color w:val="000000"/>
                <w:sz w:val="22"/>
                <w:szCs w:val="22"/>
              </w:rPr>
              <w:t> %.</w:t>
            </w:r>
            <w:r w:rsidR="00C55042">
              <w:rPr>
                <w:rFonts w:asciiTheme="minorHAnsi" w:hAnsiTheme="minorHAnsi" w:cstheme="minorHAnsi"/>
                <w:color w:val="000000"/>
                <w:sz w:val="22"/>
                <w:szCs w:val="22"/>
              </w:rPr>
              <w:br/>
            </w:r>
            <w:r w:rsidR="00C55042" w:rsidRPr="005F5DEF">
              <w:rPr>
                <w:rFonts w:asciiTheme="minorHAnsi" w:hAnsiTheme="minorHAnsi" w:cstheme="minorHAnsi"/>
                <w:color w:val="000000"/>
                <w:sz w:val="22"/>
                <w:szCs w:val="22"/>
              </w:rPr>
              <w:t>Nodarbinātības līmenis ir nodarbināto iedzīvotāju īpatsvars atbilstošās vecuma grupas iedzīvotāju kopskaitā, procentos</w:t>
            </w:r>
          </w:p>
          <w:p w14:paraId="296F8AA6" w14:textId="34178770" w:rsidR="001A072C" w:rsidRPr="005F5DEF" w:rsidRDefault="00FE4250" w:rsidP="00C55042">
            <w:pPr>
              <w:spacing w:before="120" w:after="120"/>
              <w:rPr>
                <w:rFonts w:asciiTheme="minorHAnsi" w:hAnsiTheme="minorHAnsi" w:cstheme="minorHAnsi"/>
                <w:color w:val="000000"/>
                <w:sz w:val="22"/>
                <w:szCs w:val="22"/>
              </w:rPr>
            </w:pPr>
            <w:r>
              <w:rPr>
                <w:rFonts w:asciiTheme="minorHAnsi" w:hAnsiTheme="minorHAnsi" w:cstheme="minorHAnsi"/>
                <w:b/>
                <w:color w:val="000000"/>
                <w:sz w:val="22"/>
                <w:szCs w:val="22"/>
              </w:rPr>
              <w:t>Avots</w:t>
            </w:r>
            <w:r w:rsidR="00C55042" w:rsidRPr="005F5DEF">
              <w:rPr>
                <w:rFonts w:asciiTheme="minorHAnsi" w:hAnsiTheme="minorHAnsi" w:cstheme="minorHAnsi"/>
                <w:b/>
                <w:color w:val="000000"/>
                <w:sz w:val="22"/>
                <w:szCs w:val="22"/>
              </w:rPr>
              <w:t>:</w:t>
            </w:r>
            <w:r w:rsidR="00C55042" w:rsidRPr="005F5DEF">
              <w:rPr>
                <w:rFonts w:asciiTheme="minorHAnsi" w:hAnsiTheme="minorHAnsi" w:cstheme="minorHAnsi"/>
                <w:color w:val="000000"/>
              </w:rPr>
              <w:t xml:space="preserve"> </w:t>
            </w:r>
            <w:hyperlink r:id="rId23" w:history="1">
              <w:r w:rsidR="00C55042" w:rsidRPr="005F5DEF">
                <w:rPr>
                  <w:rStyle w:val="Hyperlink"/>
                  <w:rFonts w:asciiTheme="minorHAnsi" w:hAnsiTheme="minorHAnsi" w:cstheme="minorHAnsi"/>
                  <w:sz w:val="22"/>
                  <w:szCs w:val="22"/>
                </w:rPr>
                <w:t>CSP datubāze NBA030.</w:t>
              </w:r>
            </w:hyperlink>
          </w:p>
        </w:tc>
      </w:tr>
      <w:tr w:rsidR="00FE4250" w:rsidRPr="005F5DEF" w14:paraId="6EC5D633" w14:textId="77777777" w:rsidTr="00FE4250">
        <w:tc>
          <w:tcPr>
            <w:tcW w:w="9629" w:type="dxa"/>
            <w:gridSpan w:val="5"/>
          </w:tcPr>
          <w:p w14:paraId="155EBEAE" w14:textId="3BF16359" w:rsidR="00FE4250" w:rsidRPr="005F5DEF" w:rsidRDefault="00FE4250" w:rsidP="00FE4250">
            <w:pPr>
              <w:tabs>
                <w:tab w:val="left" w:pos="5290"/>
              </w:tabs>
              <w:spacing w:before="120" w:after="120"/>
              <w:rPr>
                <w:rFonts w:asciiTheme="minorHAnsi" w:hAnsiTheme="minorHAnsi" w:cstheme="minorHAnsi"/>
                <w:color w:val="000000"/>
                <w:sz w:val="22"/>
                <w:szCs w:val="22"/>
              </w:rPr>
            </w:pPr>
            <w:r>
              <w:rPr>
                <w:noProof/>
              </w:rPr>
              <w:lastRenderedPageBreak/>
              <w:drawing>
                <wp:inline distT="0" distB="0" distL="0" distR="0" wp14:anchorId="367D19FC" wp14:editId="50B5D285">
                  <wp:extent cx="5930900" cy="2019300"/>
                  <wp:effectExtent l="0" t="0" r="12700" b="0"/>
                  <wp:docPr id="11" name="Chart 11">
                    <a:extLst xmlns:a="http://schemas.openxmlformats.org/drawingml/2006/main">
                      <a:ext uri="{FF2B5EF4-FFF2-40B4-BE49-F238E27FC236}">
                        <a16:creationId xmlns:a16="http://schemas.microsoft.com/office/drawing/2014/main" id="{7AEFD7BF-B5B7-41A8-869B-94D9F981E9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C50B07" w:rsidRPr="005F5DEF" w14:paraId="234857EB" w14:textId="77777777" w:rsidTr="007B6F3B">
        <w:tc>
          <w:tcPr>
            <w:tcW w:w="5071" w:type="dxa"/>
            <w:gridSpan w:val="4"/>
          </w:tcPr>
          <w:p w14:paraId="0587ABE9" w14:textId="77777777" w:rsidR="001A072C" w:rsidRPr="005F5DEF" w:rsidRDefault="001A072C" w:rsidP="00A53656">
            <w:pPr>
              <w:spacing w:before="120" w:after="120"/>
              <w:jc w:val="both"/>
              <w:rPr>
                <w:rFonts w:asciiTheme="minorHAnsi" w:hAnsiTheme="minorHAnsi" w:cstheme="minorHAnsi"/>
                <w:noProof/>
                <w:color w:val="000000"/>
                <w:sz w:val="22"/>
                <w:szCs w:val="22"/>
              </w:rPr>
            </w:pPr>
            <w:r w:rsidRPr="005F5DEF">
              <w:rPr>
                <w:rFonts w:asciiTheme="minorHAnsi" w:hAnsiTheme="minorHAnsi" w:cstheme="minorHAnsi"/>
                <w:noProof/>
                <w:color w:val="000000"/>
                <w:sz w:val="22"/>
                <w:szCs w:val="22"/>
              </w:rPr>
              <w:drawing>
                <wp:inline distT="0" distB="0" distL="0" distR="0" wp14:anchorId="717A5AD4" wp14:editId="7DFB75CA">
                  <wp:extent cx="2940627" cy="1600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63953" cy="1612893"/>
                          </a:xfrm>
                          <a:prstGeom prst="rect">
                            <a:avLst/>
                          </a:prstGeom>
                          <a:noFill/>
                          <a:ln>
                            <a:noFill/>
                          </a:ln>
                        </pic:spPr>
                      </pic:pic>
                    </a:graphicData>
                  </a:graphic>
                </wp:inline>
              </w:drawing>
            </w:r>
          </w:p>
        </w:tc>
        <w:tc>
          <w:tcPr>
            <w:tcW w:w="4558" w:type="dxa"/>
          </w:tcPr>
          <w:p w14:paraId="31F32EB5" w14:textId="77777777" w:rsidR="001A072C" w:rsidRDefault="001A072C" w:rsidP="00A53656">
            <w:pPr>
              <w:spacing w:before="120" w:after="120"/>
              <w:jc w:val="both"/>
              <w:rPr>
                <w:rFonts w:asciiTheme="minorHAnsi" w:hAnsiTheme="minorHAnsi" w:cstheme="minorHAnsi"/>
                <w:color w:val="000000"/>
                <w:sz w:val="22"/>
                <w:szCs w:val="22"/>
              </w:rPr>
            </w:pPr>
            <w:commentRangeStart w:id="2"/>
            <w:r w:rsidRPr="005F5DEF">
              <w:rPr>
                <w:rFonts w:asciiTheme="minorHAnsi" w:hAnsiTheme="minorHAnsi" w:cstheme="minorHAnsi"/>
                <w:color w:val="000000"/>
                <w:sz w:val="22"/>
                <w:szCs w:val="22"/>
              </w:rPr>
              <w:t xml:space="preserve">2017. gadā bija 85,4 tūkst. bezdarbnieki, no </w:t>
            </w:r>
            <w:commentRangeEnd w:id="2"/>
            <w:r w:rsidRPr="005F5DEF">
              <w:rPr>
                <w:rStyle w:val="CommentReference"/>
                <w:rFonts w:asciiTheme="minorHAnsi" w:hAnsiTheme="minorHAnsi" w:cstheme="minorHAnsi"/>
              </w:rPr>
              <w:commentReference w:id="2"/>
            </w:r>
            <w:r w:rsidRPr="005F5DEF">
              <w:rPr>
                <w:rFonts w:asciiTheme="minorHAnsi" w:hAnsiTheme="minorHAnsi" w:cstheme="minorHAnsi"/>
                <w:color w:val="000000"/>
                <w:sz w:val="22"/>
                <w:szCs w:val="22"/>
              </w:rPr>
              <w:t xml:space="preserve">kuriem 44 % bija sievietes un 56 % – vīriešu. Jāatzīmē, ka vīriešu – bezdarbnieku īpatsvars ir augstāks nekā sieviešu – bezdarbnieču īpatsvars. Izņēmums ir 2004. gads, kad 49,6 % no visiem bezdarbniekiem bija sievietes. </w:t>
            </w:r>
          </w:p>
          <w:p w14:paraId="40DAC1C4" w14:textId="0658A6EA" w:rsidR="00FE4250" w:rsidRPr="005F5DEF" w:rsidRDefault="00FE4250" w:rsidP="00FE4250">
            <w:pPr>
              <w:spacing w:before="120" w:after="120"/>
              <w:rPr>
                <w:rFonts w:asciiTheme="minorHAnsi" w:hAnsiTheme="minorHAnsi" w:cstheme="minorHAnsi"/>
                <w:color w:val="000000"/>
                <w:sz w:val="22"/>
                <w:szCs w:val="22"/>
              </w:rPr>
            </w:pPr>
            <w:r>
              <w:rPr>
                <w:rFonts w:asciiTheme="minorHAnsi" w:hAnsiTheme="minorHAnsi" w:cstheme="minorHAnsi"/>
                <w:b/>
                <w:color w:val="000000"/>
                <w:sz w:val="22"/>
                <w:szCs w:val="22"/>
              </w:rPr>
              <w:t>Avots</w:t>
            </w:r>
            <w:r w:rsidRPr="005F5DEF">
              <w:rPr>
                <w:rFonts w:asciiTheme="minorHAnsi" w:hAnsiTheme="minorHAnsi" w:cstheme="minorHAnsi"/>
                <w:b/>
                <w:color w:val="000000"/>
                <w:sz w:val="22"/>
                <w:szCs w:val="22"/>
              </w:rPr>
              <w:t>:</w:t>
            </w:r>
            <w:r w:rsidRPr="005F5DEF">
              <w:rPr>
                <w:rFonts w:asciiTheme="minorHAnsi" w:hAnsiTheme="minorHAnsi" w:cstheme="minorHAnsi"/>
                <w:color w:val="000000"/>
                <w:sz w:val="22"/>
                <w:szCs w:val="22"/>
              </w:rPr>
              <w:t xml:space="preserve"> </w:t>
            </w:r>
            <w:hyperlink r:id="rId26" w:history="1">
              <w:r w:rsidRPr="005F5DEF">
                <w:rPr>
                  <w:rStyle w:val="Hyperlink"/>
                  <w:rFonts w:asciiTheme="minorHAnsi" w:hAnsiTheme="minorHAnsi" w:cstheme="minorHAnsi"/>
                  <w:sz w:val="22"/>
                  <w:szCs w:val="22"/>
                </w:rPr>
                <w:t>CSP datubāze NBA010.</w:t>
              </w:r>
            </w:hyperlink>
            <w:r w:rsidRPr="005F5DEF">
              <w:rPr>
                <w:rFonts w:asciiTheme="minorHAnsi" w:hAnsiTheme="minorHAnsi" w:cstheme="minorHAnsi"/>
                <w:color w:val="000000"/>
                <w:sz w:val="22"/>
                <w:szCs w:val="22"/>
              </w:rPr>
              <w:t xml:space="preserve"> </w:t>
            </w:r>
          </w:p>
        </w:tc>
      </w:tr>
      <w:tr w:rsidR="00FE4250" w:rsidRPr="005F5DEF" w14:paraId="1926EF78" w14:textId="77777777" w:rsidTr="00FE4250">
        <w:tc>
          <w:tcPr>
            <w:tcW w:w="9629" w:type="dxa"/>
            <w:gridSpan w:val="5"/>
          </w:tcPr>
          <w:p w14:paraId="3E067799" w14:textId="515EC341" w:rsidR="00FE4250" w:rsidRPr="005F5DEF" w:rsidRDefault="00FE4250" w:rsidP="00A53656">
            <w:pPr>
              <w:spacing w:before="120" w:after="120"/>
              <w:jc w:val="both"/>
              <w:rPr>
                <w:rFonts w:asciiTheme="minorHAnsi" w:hAnsiTheme="minorHAnsi" w:cstheme="minorHAnsi"/>
                <w:color w:val="000000"/>
                <w:sz w:val="22"/>
                <w:szCs w:val="22"/>
              </w:rPr>
            </w:pPr>
            <w:r>
              <w:rPr>
                <w:noProof/>
              </w:rPr>
              <w:drawing>
                <wp:inline distT="0" distB="0" distL="0" distR="0" wp14:anchorId="3B757F76" wp14:editId="71ABA4D3">
                  <wp:extent cx="5918200" cy="2273300"/>
                  <wp:effectExtent l="0" t="0" r="6350" b="12700"/>
                  <wp:docPr id="12" name="Chart 12">
                    <a:extLst xmlns:a="http://schemas.openxmlformats.org/drawingml/2006/main">
                      <a:ext uri="{FF2B5EF4-FFF2-40B4-BE49-F238E27FC236}">
                        <a16:creationId xmlns:a16="http://schemas.microsoft.com/office/drawing/2014/main" id="{38EE9EE2-A507-4D32-A3E9-7CDA21A3B7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1A072C" w:rsidRPr="005F5DEF" w14:paraId="3EDB94B6" w14:textId="77777777" w:rsidTr="007B6F3B">
        <w:tc>
          <w:tcPr>
            <w:tcW w:w="5065" w:type="dxa"/>
            <w:gridSpan w:val="3"/>
          </w:tcPr>
          <w:p w14:paraId="5772B238" w14:textId="77777777" w:rsidR="001A072C" w:rsidRPr="005F5DEF" w:rsidRDefault="001A072C" w:rsidP="00A53656">
            <w:pPr>
              <w:spacing w:before="120" w:after="120"/>
              <w:jc w:val="both"/>
              <w:rPr>
                <w:rFonts w:asciiTheme="minorHAnsi" w:hAnsiTheme="minorHAnsi" w:cstheme="minorHAnsi"/>
                <w:noProof/>
                <w:color w:val="000000"/>
                <w:sz w:val="22"/>
                <w:szCs w:val="22"/>
              </w:rPr>
            </w:pPr>
            <w:r w:rsidRPr="005F5DEF">
              <w:rPr>
                <w:rFonts w:asciiTheme="minorHAnsi" w:hAnsiTheme="minorHAnsi" w:cstheme="minorHAnsi"/>
                <w:noProof/>
                <w:color w:val="000000"/>
                <w:sz w:val="22"/>
                <w:szCs w:val="22"/>
              </w:rPr>
              <w:drawing>
                <wp:inline distT="0" distB="0" distL="0" distR="0" wp14:anchorId="4F624651" wp14:editId="08307589">
                  <wp:extent cx="2997913" cy="1631373"/>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7205" cy="1658196"/>
                          </a:xfrm>
                          <a:prstGeom prst="rect">
                            <a:avLst/>
                          </a:prstGeom>
                          <a:noFill/>
                          <a:ln>
                            <a:noFill/>
                          </a:ln>
                        </pic:spPr>
                      </pic:pic>
                    </a:graphicData>
                  </a:graphic>
                </wp:inline>
              </w:drawing>
            </w:r>
          </w:p>
        </w:tc>
        <w:tc>
          <w:tcPr>
            <w:tcW w:w="4564" w:type="dxa"/>
            <w:gridSpan w:val="2"/>
          </w:tcPr>
          <w:p w14:paraId="2EC54A39" w14:textId="77777777" w:rsidR="001A072C" w:rsidRDefault="001A072C" w:rsidP="00A53656">
            <w:pPr>
              <w:spacing w:before="120" w:after="120"/>
              <w:rPr>
                <w:rFonts w:asciiTheme="minorHAnsi" w:hAnsiTheme="minorHAnsi" w:cstheme="minorHAnsi"/>
                <w:color w:val="000000"/>
                <w:sz w:val="22"/>
                <w:szCs w:val="22"/>
              </w:rPr>
            </w:pPr>
            <w:r w:rsidRPr="005F5DEF">
              <w:rPr>
                <w:rFonts w:asciiTheme="minorHAnsi" w:hAnsiTheme="minorHAnsi" w:cstheme="minorHAnsi"/>
                <w:color w:val="000000"/>
                <w:sz w:val="22"/>
                <w:szCs w:val="22"/>
              </w:rPr>
              <w:t>Ekonomiskās lejupslīdes laikā no 2008. līdz 2010. gadam bezdarba līmenis valstī auga par vairāk kā trīs reizēm, 2010. gadā sasniedza 19,5 %. Līdz 2019. gadam bezdarba līmenis bija nokrities līdz 6,3%, taču Covid-19 ietekmē bezdarba līmenis aug, 2020.gadā sasniedzot jau 8,1%</w:t>
            </w:r>
          </w:p>
          <w:p w14:paraId="662BF179" w14:textId="3553BA04" w:rsidR="00854307" w:rsidRPr="005F5DEF" w:rsidRDefault="00854307" w:rsidP="00A53656">
            <w:pPr>
              <w:spacing w:before="120" w:after="120"/>
              <w:rPr>
                <w:rFonts w:asciiTheme="minorHAnsi" w:hAnsiTheme="minorHAnsi" w:cstheme="minorHAnsi"/>
                <w:color w:val="000000"/>
                <w:sz w:val="22"/>
                <w:szCs w:val="22"/>
              </w:rPr>
            </w:pPr>
            <w:r>
              <w:rPr>
                <w:rFonts w:asciiTheme="minorHAnsi" w:hAnsiTheme="minorHAnsi" w:cstheme="minorHAnsi"/>
                <w:b/>
                <w:color w:val="000000"/>
                <w:sz w:val="22"/>
                <w:szCs w:val="22"/>
              </w:rPr>
              <w:t>Avots</w:t>
            </w:r>
            <w:r w:rsidRPr="005F5DEF">
              <w:rPr>
                <w:rFonts w:asciiTheme="minorHAnsi" w:hAnsiTheme="minorHAnsi" w:cstheme="minorHAnsi"/>
                <w:b/>
                <w:color w:val="000000"/>
                <w:sz w:val="22"/>
                <w:szCs w:val="22"/>
              </w:rPr>
              <w:t>:</w:t>
            </w:r>
            <w:r w:rsidRPr="005F5DEF">
              <w:rPr>
                <w:rFonts w:asciiTheme="minorHAnsi" w:hAnsiTheme="minorHAnsi" w:cstheme="minorHAnsi"/>
                <w:color w:val="000000"/>
                <w:sz w:val="22"/>
                <w:szCs w:val="22"/>
              </w:rPr>
              <w:t xml:space="preserve"> </w:t>
            </w:r>
            <w:hyperlink r:id="rId29" w:history="1">
              <w:r w:rsidRPr="005F5DEF">
                <w:rPr>
                  <w:rStyle w:val="Hyperlink"/>
                  <w:rFonts w:asciiTheme="minorHAnsi" w:hAnsiTheme="minorHAnsi" w:cstheme="minorHAnsi"/>
                  <w:sz w:val="22"/>
                  <w:szCs w:val="22"/>
                </w:rPr>
                <w:t>CSP datubāze NBB010</w:t>
              </w:r>
            </w:hyperlink>
            <w:r w:rsidRPr="005F5DEF">
              <w:rPr>
                <w:rFonts w:asciiTheme="minorHAnsi" w:hAnsiTheme="minorHAnsi" w:cstheme="minorHAnsi"/>
                <w:color w:val="000000"/>
                <w:sz w:val="22"/>
                <w:szCs w:val="22"/>
              </w:rPr>
              <w:t xml:space="preserve">. </w:t>
            </w:r>
          </w:p>
        </w:tc>
      </w:tr>
      <w:tr w:rsidR="00854307" w:rsidRPr="005F5DEF" w14:paraId="43578AE0" w14:textId="77777777" w:rsidTr="00854307">
        <w:tc>
          <w:tcPr>
            <w:tcW w:w="9629" w:type="dxa"/>
            <w:gridSpan w:val="5"/>
          </w:tcPr>
          <w:p w14:paraId="16A1416C" w14:textId="181F5150" w:rsidR="00854307" w:rsidRPr="005F5DEF" w:rsidRDefault="00854307" w:rsidP="00A53656">
            <w:pPr>
              <w:spacing w:before="120" w:after="120"/>
              <w:rPr>
                <w:rFonts w:asciiTheme="minorHAnsi" w:hAnsiTheme="minorHAnsi" w:cstheme="minorHAnsi"/>
                <w:color w:val="000000"/>
                <w:sz w:val="22"/>
                <w:szCs w:val="22"/>
              </w:rPr>
            </w:pPr>
            <w:r>
              <w:rPr>
                <w:noProof/>
              </w:rPr>
              <w:lastRenderedPageBreak/>
              <w:drawing>
                <wp:inline distT="0" distB="0" distL="0" distR="0" wp14:anchorId="047F1D64" wp14:editId="3D9A5D54">
                  <wp:extent cx="5943600" cy="2374900"/>
                  <wp:effectExtent l="0" t="0" r="0" b="6350"/>
                  <wp:docPr id="13" name="Chart 13">
                    <a:extLst xmlns:a="http://schemas.openxmlformats.org/drawingml/2006/main">
                      <a:ext uri="{FF2B5EF4-FFF2-40B4-BE49-F238E27FC236}">
                        <a16:creationId xmlns:a16="http://schemas.microsoft.com/office/drawing/2014/main" id="{36E1E37B-FED6-48C7-8D22-5BD5B2E4D9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1A072C" w:rsidRPr="005F5DEF" w14:paraId="608652A5" w14:textId="77777777" w:rsidTr="007B6F3B">
        <w:tc>
          <w:tcPr>
            <w:tcW w:w="5047" w:type="dxa"/>
            <w:gridSpan w:val="2"/>
          </w:tcPr>
          <w:p w14:paraId="367DB2A6" w14:textId="4C7A95A3" w:rsidR="001A072C" w:rsidRPr="005F5DEF" w:rsidRDefault="001A072C" w:rsidP="00A53656">
            <w:pPr>
              <w:spacing w:before="120" w:after="120"/>
              <w:jc w:val="both"/>
              <w:rPr>
                <w:rFonts w:asciiTheme="minorHAnsi" w:hAnsiTheme="minorHAnsi" w:cstheme="minorHAnsi"/>
                <w:noProof/>
                <w:lang w:eastAsia="lv-LV"/>
              </w:rPr>
            </w:pPr>
            <w:r w:rsidRPr="005F5DEF">
              <w:rPr>
                <w:rFonts w:asciiTheme="minorHAnsi" w:hAnsiTheme="minorHAnsi" w:cstheme="minorHAnsi"/>
                <w:noProof/>
                <w:color w:val="000000"/>
                <w:sz w:val="22"/>
                <w:szCs w:val="22"/>
              </w:rPr>
              <w:drawing>
                <wp:inline distT="0" distB="0" distL="0" distR="0" wp14:anchorId="53A52F5B" wp14:editId="03168FE7">
                  <wp:extent cx="3036817" cy="175606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2061" cy="1776444"/>
                          </a:xfrm>
                          <a:prstGeom prst="rect">
                            <a:avLst/>
                          </a:prstGeom>
                          <a:noFill/>
                          <a:ln>
                            <a:noFill/>
                          </a:ln>
                        </pic:spPr>
                      </pic:pic>
                    </a:graphicData>
                  </a:graphic>
                </wp:inline>
              </w:drawing>
            </w:r>
          </w:p>
        </w:tc>
        <w:tc>
          <w:tcPr>
            <w:tcW w:w="4582" w:type="dxa"/>
            <w:gridSpan w:val="3"/>
          </w:tcPr>
          <w:p w14:paraId="0F3B4A5F" w14:textId="77777777" w:rsidR="001A072C" w:rsidRPr="005F5DEF" w:rsidRDefault="001A072C" w:rsidP="00A53656">
            <w:pPr>
              <w:spacing w:before="120" w:after="120"/>
              <w:rPr>
                <w:rFonts w:asciiTheme="minorHAnsi" w:hAnsiTheme="minorHAnsi" w:cstheme="minorHAnsi"/>
                <w:color w:val="000000"/>
                <w:sz w:val="22"/>
                <w:szCs w:val="22"/>
              </w:rPr>
            </w:pPr>
            <w:r w:rsidRPr="005F5DEF">
              <w:rPr>
                <w:rFonts w:asciiTheme="minorHAnsi" w:hAnsiTheme="minorHAnsi" w:cstheme="minorHAnsi"/>
                <w:color w:val="000000"/>
                <w:sz w:val="22"/>
                <w:szCs w:val="22"/>
              </w:rPr>
              <w:t xml:space="preserve">Statistikas dati liecina, ka visvairāk nodarbināti ir iedzīvotāji, kam ir augstākā izglītība. Šāda tendence Latvijā dominē no 2014. gada, līdz tam visvairāk nodarbināto bija ar arodizglītību vai vidējo profesionālo izglītību. Neskatoties uz to, ka arodizglītību vai profesionālo vidējo izglītību ieguvušie nodarbinātie ir otra nodarbinātākā grupa pēc izglītības līmeņa, personu īpatsvars ar šo izglītību ir vislielākais bezdarbnieku vidū, izņēmums ir tikai 2017. gads, kad lielāks īpatsvars ir vispārējās vidējās izglītības ieguvušajiem bezdarbniekiem. </w:t>
            </w:r>
          </w:p>
          <w:p w14:paraId="70A0DD99" w14:textId="77777777" w:rsidR="001A072C" w:rsidRPr="005F5DEF" w:rsidRDefault="001A072C" w:rsidP="00A53656">
            <w:pPr>
              <w:spacing w:before="120" w:after="120"/>
              <w:rPr>
                <w:rFonts w:asciiTheme="minorHAnsi" w:hAnsiTheme="minorHAnsi" w:cstheme="minorHAnsi"/>
                <w:color w:val="000000"/>
                <w:sz w:val="22"/>
                <w:szCs w:val="22"/>
              </w:rPr>
            </w:pPr>
            <w:r w:rsidRPr="005F5DEF">
              <w:rPr>
                <w:rFonts w:asciiTheme="minorHAnsi" w:hAnsiTheme="minorHAnsi" w:cstheme="minorHAnsi"/>
                <w:color w:val="000000"/>
                <w:sz w:val="22"/>
                <w:szCs w:val="22"/>
              </w:rPr>
              <w:t xml:space="preserve">Kopš 2017.gada bezdarbnieku skaits ar augstāko izglītību ir vairāk nekā bezdarbnieki ar pamatizglītību. </w:t>
            </w:r>
          </w:p>
          <w:p w14:paraId="66623489" w14:textId="77777777" w:rsidR="001A072C" w:rsidRPr="005F5DEF" w:rsidRDefault="001A072C" w:rsidP="00A53656">
            <w:pPr>
              <w:spacing w:before="120" w:after="120"/>
              <w:rPr>
                <w:rFonts w:asciiTheme="minorHAnsi" w:hAnsiTheme="minorHAnsi" w:cstheme="minorHAnsi"/>
                <w:color w:val="000000"/>
                <w:sz w:val="22"/>
                <w:szCs w:val="22"/>
              </w:rPr>
            </w:pPr>
            <w:r w:rsidRPr="005F5DEF">
              <w:rPr>
                <w:rFonts w:asciiTheme="minorHAnsi" w:hAnsiTheme="minorHAnsi" w:cstheme="minorHAnsi"/>
                <w:b/>
                <w:bCs/>
                <w:color w:val="000000"/>
                <w:sz w:val="22"/>
                <w:szCs w:val="22"/>
              </w:rPr>
              <w:t>Avots:</w:t>
            </w:r>
            <w:r w:rsidRPr="005F5DEF">
              <w:rPr>
                <w:rFonts w:asciiTheme="minorHAnsi" w:hAnsiTheme="minorHAnsi" w:cstheme="minorHAnsi"/>
                <w:color w:val="000000"/>
                <w:sz w:val="22"/>
                <w:szCs w:val="22"/>
              </w:rPr>
              <w:t xml:space="preserve"> </w:t>
            </w:r>
            <w:hyperlink r:id="rId32" w:history="1">
              <w:r w:rsidRPr="005F5DEF">
                <w:rPr>
                  <w:rStyle w:val="Hyperlink"/>
                  <w:rFonts w:asciiTheme="minorHAnsi" w:hAnsiTheme="minorHAnsi" w:cstheme="minorHAnsi"/>
                  <w:sz w:val="22"/>
                  <w:szCs w:val="22"/>
                </w:rPr>
                <w:t>CSP Datubāze NBA060</w:t>
              </w:r>
            </w:hyperlink>
          </w:p>
        </w:tc>
      </w:tr>
      <w:tr w:rsidR="00854307" w:rsidRPr="005F5DEF" w14:paraId="36DB8C94" w14:textId="77777777" w:rsidTr="00C50B07">
        <w:trPr>
          <w:trHeight w:val="2835"/>
        </w:trPr>
        <w:tc>
          <w:tcPr>
            <w:tcW w:w="9629" w:type="dxa"/>
            <w:gridSpan w:val="5"/>
          </w:tcPr>
          <w:p w14:paraId="248C5668" w14:textId="51EC348A" w:rsidR="00854307" w:rsidRPr="005F5DEF" w:rsidRDefault="007B6F3B" w:rsidP="00A53656">
            <w:pPr>
              <w:spacing w:before="120" w:after="120"/>
              <w:rPr>
                <w:rFonts w:asciiTheme="minorHAnsi" w:hAnsiTheme="minorHAnsi" w:cstheme="minorHAnsi"/>
                <w:color w:val="000000"/>
                <w:sz w:val="22"/>
                <w:szCs w:val="22"/>
              </w:rPr>
            </w:pPr>
            <w:r>
              <w:rPr>
                <w:noProof/>
              </w:rPr>
              <w:drawing>
                <wp:inline distT="0" distB="0" distL="0" distR="0" wp14:anchorId="6DA8665A" wp14:editId="663A1A11">
                  <wp:extent cx="5918200" cy="2362200"/>
                  <wp:effectExtent l="0" t="0" r="6350" b="0"/>
                  <wp:docPr id="16" name="Chart 16">
                    <a:extLst xmlns:a="http://schemas.openxmlformats.org/drawingml/2006/main">
                      <a:ext uri="{FF2B5EF4-FFF2-40B4-BE49-F238E27FC236}">
                        <a16:creationId xmlns:a16="http://schemas.microsoft.com/office/drawing/2014/main" id="{7E8D6BF1-6999-44EE-BED5-FB5438FBE0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854307" w:rsidRPr="005F5DEF" w14:paraId="23253377" w14:textId="77777777" w:rsidTr="00C50B07">
        <w:trPr>
          <w:trHeight w:val="2835"/>
        </w:trPr>
        <w:tc>
          <w:tcPr>
            <w:tcW w:w="9629" w:type="dxa"/>
            <w:gridSpan w:val="5"/>
          </w:tcPr>
          <w:p w14:paraId="4CD504C7" w14:textId="182CEF4A" w:rsidR="00854307" w:rsidRPr="005F5DEF" w:rsidRDefault="007B6F3B" w:rsidP="00A53656">
            <w:pPr>
              <w:spacing w:before="120" w:after="120"/>
              <w:rPr>
                <w:rFonts w:asciiTheme="minorHAnsi" w:hAnsiTheme="minorHAnsi" w:cstheme="minorHAnsi"/>
                <w:color w:val="000000"/>
                <w:sz w:val="22"/>
                <w:szCs w:val="22"/>
              </w:rPr>
            </w:pPr>
            <w:r>
              <w:rPr>
                <w:noProof/>
              </w:rPr>
              <w:lastRenderedPageBreak/>
              <w:drawing>
                <wp:inline distT="0" distB="0" distL="0" distR="0" wp14:anchorId="0EE4A05C" wp14:editId="2E28FB1A">
                  <wp:extent cx="5918200" cy="2286000"/>
                  <wp:effectExtent l="0" t="0" r="6350" b="0"/>
                  <wp:docPr id="17" name="Chart 17">
                    <a:extLst xmlns:a="http://schemas.openxmlformats.org/drawingml/2006/main">
                      <a:ext uri="{FF2B5EF4-FFF2-40B4-BE49-F238E27FC236}">
                        <a16:creationId xmlns:a16="http://schemas.microsoft.com/office/drawing/2014/main" id="{DA793A5B-4C8B-4D3F-BA1C-27F9FB4C23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1A072C" w:rsidRPr="005F5DEF" w14:paraId="133E1697" w14:textId="77777777" w:rsidTr="00A53656">
        <w:tc>
          <w:tcPr>
            <w:tcW w:w="5023" w:type="dxa"/>
          </w:tcPr>
          <w:p w14:paraId="4F8F0D13" w14:textId="77777777" w:rsidR="001A072C" w:rsidRPr="005F5DEF" w:rsidRDefault="001A072C" w:rsidP="00A53656">
            <w:pPr>
              <w:spacing w:before="120" w:after="120"/>
              <w:jc w:val="both"/>
              <w:rPr>
                <w:rFonts w:asciiTheme="minorHAnsi" w:hAnsiTheme="minorHAnsi" w:cstheme="minorHAnsi"/>
                <w:noProof/>
                <w:lang w:eastAsia="lv-LV"/>
              </w:rPr>
            </w:pPr>
            <w:r w:rsidRPr="005F5DEF">
              <w:rPr>
                <w:rFonts w:asciiTheme="minorHAnsi" w:hAnsiTheme="minorHAnsi" w:cstheme="minorHAnsi"/>
                <w:noProof/>
                <w:color w:val="000000"/>
                <w:sz w:val="22"/>
                <w:szCs w:val="22"/>
              </w:rPr>
              <w:drawing>
                <wp:inline distT="0" distB="0" distL="0" distR="0" wp14:anchorId="4FF566C9" wp14:editId="1475153F">
                  <wp:extent cx="3014827" cy="3501736"/>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56687" cy="3550356"/>
                          </a:xfrm>
                          <a:prstGeom prst="rect">
                            <a:avLst/>
                          </a:prstGeom>
                          <a:noFill/>
                          <a:ln>
                            <a:noFill/>
                          </a:ln>
                        </pic:spPr>
                      </pic:pic>
                    </a:graphicData>
                  </a:graphic>
                </wp:inline>
              </w:drawing>
            </w:r>
          </w:p>
        </w:tc>
        <w:tc>
          <w:tcPr>
            <w:tcW w:w="4606" w:type="dxa"/>
            <w:gridSpan w:val="4"/>
          </w:tcPr>
          <w:p w14:paraId="3DF5837E" w14:textId="77777777" w:rsidR="001A072C" w:rsidRPr="005F5DEF" w:rsidRDefault="001A072C" w:rsidP="00A53656">
            <w:pPr>
              <w:spacing w:before="120" w:after="120"/>
              <w:rPr>
                <w:rFonts w:asciiTheme="minorHAnsi" w:hAnsiTheme="minorHAnsi" w:cstheme="minorHAnsi"/>
                <w:color w:val="000000"/>
                <w:sz w:val="22"/>
                <w:szCs w:val="22"/>
              </w:rPr>
            </w:pPr>
            <w:r w:rsidRPr="005F5DEF">
              <w:rPr>
                <w:rFonts w:asciiTheme="minorHAnsi" w:hAnsiTheme="minorHAnsi" w:cstheme="minorHAnsi"/>
                <w:color w:val="000000"/>
                <w:sz w:val="22"/>
                <w:szCs w:val="22"/>
              </w:rPr>
              <w:t>2020. gadā gandrīz puse no ekonomiski neaktīvajiem iedzīvotājiem bija nestrādājošie pensionāri, 1/4 no ekonomiski neaktīvajiem veidoja skolēni un studenti, 12% mājsaimnieces un mājsaimnieki, savukārt 10.2% no nestrādājošiem nestrādāja veselības vai invaliditātes dēļ, bet 1.1% bija personas, kas atradās bērna kopšanas atvaļinājumā. Līdzīga tendence ir novērojama arī iepriekšējos gados.</w:t>
            </w:r>
          </w:p>
          <w:p w14:paraId="0EC260B4" w14:textId="77777777" w:rsidR="001A072C" w:rsidRPr="005F5DEF" w:rsidRDefault="001A072C" w:rsidP="00A53656">
            <w:pPr>
              <w:spacing w:before="120" w:after="120"/>
              <w:rPr>
                <w:rFonts w:asciiTheme="minorHAnsi" w:hAnsiTheme="minorHAnsi" w:cstheme="minorHAnsi"/>
                <w:color w:val="000000"/>
                <w:sz w:val="22"/>
                <w:szCs w:val="22"/>
              </w:rPr>
            </w:pPr>
            <w:r w:rsidRPr="005F5DEF">
              <w:rPr>
                <w:rFonts w:asciiTheme="minorHAnsi" w:hAnsiTheme="minorHAnsi" w:cstheme="minorHAnsi"/>
                <w:b/>
                <w:color w:val="000000"/>
                <w:sz w:val="22"/>
                <w:szCs w:val="22"/>
              </w:rPr>
              <w:t>Avots:</w:t>
            </w:r>
            <w:r w:rsidRPr="005F5DEF">
              <w:rPr>
                <w:rFonts w:asciiTheme="minorHAnsi" w:hAnsiTheme="minorHAnsi" w:cstheme="minorHAnsi"/>
                <w:color w:val="000000"/>
                <w:sz w:val="22"/>
                <w:szCs w:val="22"/>
              </w:rPr>
              <w:t xml:space="preserve"> </w:t>
            </w:r>
            <w:hyperlink r:id="rId36" w:history="1">
              <w:r w:rsidRPr="005F5DEF">
                <w:rPr>
                  <w:rStyle w:val="Hyperlink"/>
                  <w:rFonts w:asciiTheme="minorHAnsi" w:hAnsiTheme="minorHAnsi" w:cstheme="minorHAnsi"/>
                  <w:sz w:val="22"/>
                  <w:szCs w:val="22"/>
                </w:rPr>
                <w:t>CSP datubāze NBN020</w:t>
              </w:r>
            </w:hyperlink>
          </w:p>
          <w:p w14:paraId="52048A65" w14:textId="77777777" w:rsidR="001A072C" w:rsidRPr="005F5DEF" w:rsidRDefault="001A072C" w:rsidP="00A53656">
            <w:pPr>
              <w:spacing w:before="120" w:after="120"/>
              <w:rPr>
                <w:rFonts w:asciiTheme="minorHAnsi" w:hAnsiTheme="minorHAnsi" w:cstheme="minorHAnsi"/>
                <w:color w:val="000000"/>
                <w:sz w:val="22"/>
                <w:szCs w:val="22"/>
              </w:rPr>
            </w:pPr>
          </w:p>
        </w:tc>
      </w:tr>
    </w:tbl>
    <w:p w14:paraId="265CC219" w14:textId="77777777" w:rsidR="001A072C" w:rsidRPr="005F5DEF" w:rsidRDefault="001A072C" w:rsidP="00CE7454">
      <w:pPr>
        <w:spacing w:before="120" w:after="120" w:line="276" w:lineRule="auto"/>
        <w:rPr>
          <w:rFonts w:asciiTheme="minorHAnsi" w:hAnsiTheme="minorHAnsi" w:cstheme="minorHAnsi"/>
          <w:color w:val="000000"/>
          <w:sz w:val="22"/>
          <w:szCs w:val="22"/>
        </w:rPr>
      </w:pPr>
    </w:p>
    <w:sectPr w:rsidR="001A072C" w:rsidRPr="005F5DEF" w:rsidSect="0030082F">
      <w:footerReference w:type="default" r:id="rId37"/>
      <w:footerReference w:type="first" r:id="rId38"/>
      <w:type w:val="continuous"/>
      <w:pgSz w:w="11907" w:h="16840" w:code="9"/>
      <w:pgMar w:top="1134" w:right="1134" w:bottom="1134" w:left="1134" w:header="680" w:footer="851"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Ieva Urbane" w:date="2021-07-13T09:50:00Z" w:initials="IU">
    <w:p w14:paraId="0664C2E4" w14:textId="2AA0FB3B" w:rsidR="005429BA" w:rsidRDefault="005429BA">
      <w:pPr>
        <w:pStyle w:val="CommentText"/>
      </w:pPr>
      <w:r>
        <w:rPr>
          <w:rStyle w:val="CommentReference"/>
        </w:rPr>
        <w:annotationRef/>
      </w:r>
      <w:r>
        <w:t>Vai šis tehniski nav mainījies?</w:t>
      </w:r>
    </w:p>
  </w:comment>
  <w:comment w:id="2" w:author="Ieva Urbane" w:date="2021-07-19T11:56:00Z" w:initials="IU">
    <w:p w14:paraId="036CB19F" w14:textId="77777777" w:rsidR="001A072C" w:rsidRDefault="001A072C" w:rsidP="001A072C">
      <w:pPr>
        <w:pStyle w:val="CommentText"/>
      </w:pPr>
      <w:r>
        <w:rPr>
          <w:rStyle w:val="CommentReference"/>
        </w:rPr>
        <w:annotationRef/>
      </w:r>
      <w:r>
        <w:t>Grafikā atstāju tos gadus, kur mainās uz augšu/uz leju, ne vairāk kā 5 gadus izlaižot</w:t>
      </w:r>
    </w:p>
    <w:p w14:paraId="7BE6E40B" w14:textId="77777777" w:rsidR="001A072C" w:rsidRDefault="001A072C" w:rsidP="001A072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64C2E4" w15:done="0"/>
  <w15:commentEx w15:paraId="7BE6E4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7E07F" w16cex:dateUtc="2021-07-13T06:50:00Z"/>
  <w16cex:commentExtensible w16cex:durableId="249FE6D2" w16cex:dateUtc="2021-07-19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64C2E4" w16cid:durableId="2497E07F"/>
  <w16cid:commentId w16cid:paraId="7BE6E40B" w16cid:durableId="249FE6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C9ADF" w14:textId="77777777" w:rsidR="0006297B" w:rsidRDefault="0006297B" w:rsidP="00655A0D">
      <w:r>
        <w:separator/>
      </w:r>
    </w:p>
  </w:endnote>
  <w:endnote w:type="continuationSeparator" w:id="0">
    <w:p w14:paraId="631D1CEF" w14:textId="77777777" w:rsidR="0006297B" w:rsidRDefault="0006297B" w:rsidP="0065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A2B7D" w14:textId="77777777" w:rsidR="00893A5A" w:rsidRPr="00893A5A" w:rsidRDefault="0006297B" w:rsidP="00893A5A">
    <w:pPr>
      <w:pStyle w:val="Footer"/>
    </w:pPr>
    <w:hyperlink r:id="rId1" w:history="1">
      <w:r w:rsidR="00893A5A" w:rsidRPr="00893A5A">
        <w:rPr>
          <w:rStyle w:val="Hyperlink"/>
        </w:rPr>
        <w:t>https://csp.tvptest.vraa.gov.lv/lv/skolenu-sturitis</w:t>
      </w:r>
    </w:hyperlink>
  </w:p>
  <w:p w14:paraId="78855082" w14:textId="2BDCF7C6" w:rsidR="0067651C" w:rsidRPr="00893A5A" w:rsidRDefault="0067651C" w:rsidP="00893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0F24D" w14:textId="07AB0A56" w:rsidR="00655A0D" w:rsidRPr="00893A5A" w:rsidRDefault="0006297B" w:rsidP="00893A5A">
    <w:pPr>
      <w:pStyle w:val="Footer"/>
    </w:pPr>
    <w:hyperlink r:id="rId1" w:history="1">
      <w:r w:rsidR="00893A5A" w:rsidRPr="00893A5A">
        <w:rPr>
          <w:rStyle w:val="Hyperlink"/>
        </w:rPr>
        <w:t>https://csp.tvptest.vraa.gov.lv/lv/skolenu-sturitis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A18B9" w14:textId="77777777" w:rsidR="0006297B" w:rsidRDefault="0006297B" w:rsidP="00655A0D">
      <w:r>
        <w:separator/>
      </w:r>
    </w:p>
  </w:footnote>
  <w:footnote w:type="continuationSeparator" w:id="0">
    <w:p w14:paraId="4EF980B9" w14:textId="77777777" w:rsidR="0006297B" w:rsidRDefault="0006297B" w:rsidP="00655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63C9D"/>
    <w:multiLevelType w:val="hybridMultilevel"/>
    <w:tmpl w:val="127EE00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38FF42F1"/>
    <w:multiLevelType w:val="hybridMultilevel"/>
    <w:tmpl w:val="D0641A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70A53EF2"/>
    <w:multiLevelType w:val="hybridMultilevel"/>
    <w:tmpl w:val="60CAAB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eva Urbane">
    <w15:presenceInfo w15:providerId="AD" w15:userId="S::ieva.urbane@csp.gov.lv::7d8bfac2-ef19-4603-8dd8-82fa421354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75"/>
    <w:rsid w:val="00011749"/>
    <w:rsid w:val="00016E52"/>
    <w:rsid w:val="00022B6E"/>
    <w:rsid w:val="00026C41"/>
    <w:rsid w:val="000271F4"/>
    <w:rsid w:val="000277D9"/>
    <w:rsid w:val="000332A7"/>
    <w:rsid w:val="00057E21"/>
    <w:rsid w:val="0006297B"/>
    <w:rsid w:val="00067AD1"/>
    <w:rsid w:val="00097C2E"/>
    <w:rsid w:val="000B0F3F"/>
    <w:rsid w:val="000C775C"/>
    <w:rsid w:val="00126A4E"/>
    <w:rsid w:val="00187849"/>
    <w:rsid w:val="001A072C"/>
    <w:rsid w:val="001A5722"/>
    <w:rsid w:val="001D0E7B"/>
    <w:rsid w:val="002179EB"/>
    <w:rsid w:val="00235599"/>
    <w:rsid w:val="002434B0"/>
    <w:rsid w:val="00243ECE"/>
    <w:rsid w:val="00243F7B"/>
    <w:rsid w:val="0029335D"/>
    <w:rsid w:val="00293FC0"/>
    <w:rsid w:val="002A3C86"/>
    <w:rsid w:val="002A468A"/>
    <w:rsid w:val="002A743F"/>
    <w:rsid w:val="002B1BD9"/>
    <w:rsid w:val="002B55E7"/>
    <w:rsid w:val="002B58BC"/>
    <w:rsid w:val="002C2649"/>
    <w:rsid w:val="002C76C4"/>
    <w:rsid w:val="002F415F"/>
    <w:rsid w:val="0030082F"/>
    <w:rsid w:val="00307C14"/>
    <w:rsid w:val="0034157D"/>
    <w:rsid w:val="00343C84"/>
    <w:rsid w:val="00377B5B"/>
    <w:rsid w:val="003D6EED"/>
    <w:rsid w:val="00402ECD"/>
    <w:rsid w:val="00414461"/>
    <w:rsid w:val="00414BBF"/>
    <w:rsid w:val="004317EF"/>
    <w:rsid w:val="00454651"/>
    <w:rsid w:val="004733F0"/>
    <w:rsid w:val="004735FE"/>
    <w:rsid w:val="00491EF9"/>
    <w:rsid w:val="004B37B1"/>
    <w:rsid w:val="004C1220"/>
    <w:rsid w:val="004E4F75"/>
    <w:rsid w:val="004E61E9"/>
    <w:rsid w:val="00510AEA"/>
    <w:rsid w:val="00525230"/>
    <w:rsid w:val="005429BA"/>
    <w:rsid w:val="00565941"/>
    <w:rsid w:val="00587FB1"/>
    <w:rsid w:val="005A0E5A"/>
    <w:rsid w:val="005B1049"/>
    <w:rsid w:val="005B44CE"/>
    <w:rsid w:val="005B45FC"/>
    <w:rsid w:val="005C4769"/>
    <w:rsid w:val="005D7AD6"/>
    <w:rsid w:val="005F52B9"/>
    <w:rsid w:val="005F5DEF"/>
    <w:rsid w:val="006168B9"/>
    <w:rsid w:val="00616E6D"/>
    <w:rsid w:val="00620810"/>
    <w:rsid w:val="00643C2B"/>
    <w:rsid w:val="006468A0"/>
    <w:rsid w:val="00655A0D"/>
    <w:rsid w:val="0067651C"/>
    <w:rsid w:val="006A0AE7"/>
    <w:rsid w:val="006B4A70"/>
    <w:rsid w:val="006B69E1"/>
    <w:rsid w:val="00713FE8"/>
    <w:rsid w:val="0071707B"/>
    <w:rsid w:val="007341D7"/>
    <w:rsid w:val="00771245"/>
    <w:rsid w:val="007736C5"/>
    <w:rsid w:val="00784C05"/>
    <w:rsid w:val="007B6F3B"/>
    <w:rsid w:val="007C600F"/>
    <w:rsid w:val="008035AF"/>
    <w:rsid w:val="0083491B"/>
    <w:rsid w:val="00854307"/>
    <w:rsid w:val="008628F6"/>
    <w:rsid w:val="00872B5E"/>
    <w:rsid w:val="00892E9B"/>
    <w:rsid w:val="00893A5A"/>
    <w:rsid w:val="008C4A75"/>
    <w:rsid w:val="008E5A5D"/>
    <w:rsid w:val="008F6B69"/>
    <w:rsid w:val="0091610D"/>
    <w:rsid w:val="009277D9"/>
    <w:rsid w:val="00967C95"/>
    <w:rsid w:val="009A12C0"/>
    <w:rsid w:val="009C29CB"/>
    <w:rsid w:val="009C3381"/>
    <w:rsid w:val="009E452E"/>
    <w:rsid w:val="009E6CCA"/>
    <w:rsid w:val="00A044C6"/>
    <w:rsid w:val="00A04F76"/>
    <w:rsid w:val="00A224FA"/>
    <w:rsid w:val="00A338E8"/>
    <w:rsid w:val="00A42022"/>
    <w:rsid w:val="00A553C4"/>
    <w:rsid w:val="00A57341"/>
    <w:rsid w:val="00A718F2"/>
    <w:rsid w:val="00AC021F"/>
    <w:rsid w:val="00AE60B8"/>
    <w:rsid w:val="00B07F4B"/>
    <w:rsid w:val="00B32B36"/>
    <w:rsid w:val="00B46EC9"/>
    <w:rsid w:val="00B51D1C"/>
    <w:rsid w:val="00BA4AF2"/>
    <w:rsid w:val="00BB471C"/>
    <w:rsid w:val="00BB6995"/>
    <w:rsid w:val="00BD77AA"/>
    <w:rsid w:val="00BE467C"/>
    <w:rsid w:val="00BF03EE"/>
    <w:rsid w:val="00C50B07"/>
    <w:rsid w:val="00C55042"/>
    <w:rsid w:val="00C6696C"/>
    <w:rsid w:val="00C83A36"/>
    <w:rsid w:val="00CA1D9E"/>
    <w:rsid w:val="00CC0B9A"/>
    <w:rsid w:val="00CC7050"/>
    <w:rsid w:val="00CD0CE3"/>
    <w:rsid w:val="00CD246F"/>
    <w:rsid w:val="00CE307F"/>
    <w:rsid w:val="00CE7454"/>
    <w:rsid w:val="00CF0F58"/>
    <w:rsid w:val="00CF60C7"/>
    <w:rsid w:val="00D06456"/>
    <w:rsid w:val="00D0796D"/>
    <w:rsid w:val="00D16760"/>
    <w:rsid w:val="00D20C3B"/>
    <w:rsid w:val="00D4361B"/>
    <w:rsid w:val="00D53904"/>
    <w:rsid w:val="00D611D4"/>
    <w:rsid w:val="00DA193A"/>
    <w:rsid w:val="00DA2E4D"/>
    <w:rsid w:val="00DC5DC8"/>
    <w:rsid w:val="00DC7781"/>
    <w:rsid w:val="00DE777F"/>
    <w:rsid w:val="00DF74E5"/>
    <w:rsid w:val="00E06E9E"/>
    <w:rsid w:val="00E16C3B"/>
    <w:rsid w:val="00E47F5E"/>
    <w:rsid w:val="00E529B7"/>
    <w:rsid w:val="00E60A02"/>
    <w:rsid w:val="00E712A7"/>
    <w:rsid w:val="00E765FB"/>
    <w:rsid w:val="00E843A6"/>
    <w:rsid w:val="00F7413E"/>
    <w:rsid w:val="00F87814"/>
    <w:rsid w:val="00F912B4"/>
    <w:rsid w:val="00FA4541"/>
    <w:rsid w:val="00FA5D62"/>
    <w:rsid w:val="00FB174B"/>
    <w:rsid w:val="00FE4250"/>
    <w:rsid w:val="00FE5D7E"/>
    <w:rsid w:val="00FF2ADA"/>
    <w:rsid w:val="00FF30D8"/>
    <w:rsid w:val="00FF45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DECE"/>
  <w15:docId w15:val="{4BE70749-5E01-4B5B-BD1C-F7DED408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F7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2B1BD9"/>
    <w:pPr>
      <w:spacing w:before="100" w:beforeAutospacing="1" w:after="100" w:afterAutospacing="1"/>
      <w:outlineLvl w:val="1"/>
    </w:pPr>
    <w:rPr>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E4F75"/>
    <w:pPr>
      <w:spacing w:line="360" w:lineRule="auto"/>
    </w:pPr>
    <w:rPr>
      <w:color w:val="0000FF"/>
    </w:rPr>
  </w:style>
  <w:style w:type="character" w:customStyle="1" w:styleId="BodyTextChar">
    <w:name w:val="Body Text Char"/>
    <w:basedOn w:val="DefaultParagraphFont"/>
    <w:link w:val="BodyText"/>
    <w:semiHidden/>
    <w:rsid w:val="004E4F75"/>
    <w:rPr>
      <w:rFonts w:ascii="Times New Roman" w:eastAsia="Times New Roman" w:hAnsi="Times New Roman" w:cs="Times New Roman"/>
      <w:color w:val="0000FF"/>
      <w:sz w:val="24"/>
      <w:szCs w:val="24"/>
    </w:rPr>
  </w:style>
  <w:style w:type="paragraph" w:styleId="BalloonText">
    <w:name w:val="Balloon Text"/>
    <w:basedOn w:val="Normal"/>
    <w:link w:val="BalloonTextChar"/>
    <w:uiPriority w:val="99"/>
    <w:semiHidden/>
    <w:unhideWhenUsed/>
    <w:rsid w:val="004E4F75"/>
    <w:rPr>
      <w:rFonts w:ascii="Tahoma" w:hAnsi="Tahoma" w:cs="Tahoma"/>
      <w:sz w:val="16"/>
      <w:szCs w:val="16"/>
    </w:rPr>
  </w:style>
  <w:style w:type="character" w:customStyle="1" w:styleId="BalloonTextChar">
    <w:name w:val="Balloon Text Char"/>
    <w:basedOn w:val="DefaultParagraphFont"/>
    <w:link w:val="BalloonText"/>
    <w:uiPriority w:val="99"/>
    <w:semiHidden/>
    <w:rsid w:val="004E4F75"/>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097C2E"/>
    <w:rPr>
      <w:sz w:val="16"/>
      <w:szCs w:val="16"/>
    </w:rPr>
  </w:style>
  <w:style w:type="paragraph" w:styleId="CommentText">
    <w:name w:val="annotation text"/>
    <w:basedOn w:val="Normal"/>
    <w:link w:val="CommentTextChar"/>
    <w:uiPriority w:val="99"/>
    <w:semiHidden/>
    <w:unhideWhenUsed/>
    <w:rsid w:val="00097C2E"/>
    <w:rPr>
      <w:sz w:val="20"/>
      <w:szCs w:val="20"/>
    </w:rPr>
  </w:style>
  <w:style w:type="character" w:customStyle="1" w:styleId="CommentTextChar">
    <w:name w:val="Comment Text Char"/>
    <w:basedOn w:val="DefaultParagraphFont"/>
    <w:link w:val="CommentText"/>
    <w:uiPriority w:val="99"/>
    <w:semiHidden/>
    <w:rsid w:val="00097C2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97C2E"/>
    <w:rPr>
      <w:b/>
      <w:bCs/>
    </w:rPr>
  </w:style>
  <w:style w:type="character" w:customStyle="1" w:styleId="CommentSubjectChar">
    <w:name w:val="Comment Subject Char"/>
    <w:basedOn w:val="CommentTextChar"/>
    <w:link w:val="CommentSubject"/>
    <w:uiPriority w:val="99"/>
    <w:semiHidden/>
    <w:rsid w:val="00097C2E"/>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655A0D"/>
    <w:pPr>
      <w:tabs>
        <w:tab w:val="center" w:pos="4513"/>
        <w:tab w:val="right" w:pos="9026"/>
      </w:tabs>
    </w:pPr>
  </w:style>
  <w:style w:type="character" w:customStyle="1" w:styleId="HeaderChar">
    <w:name w:val="Header Char"/>
    <w:basedOn w:val="DefaultParagraphFont"/>
    <w:link w:val="Header"/>
    <w:uiPriority w:val="99"/>
    <w:rsid w:val="00655A0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55A0D"/>
    <w:pPr>
      <w:tabs>
        <w:tab w:val="center" w:pos="4513"/>
        <w:tab w:val="right" w:pos="9026"/>
      </w:tabs>
    </w:pPr>
  </w:style>
  <w:style w:type="character" w:customStyle="1" w:styleId="FooterChar">
    <w:name w:val="Footer Char"/>
    <w:basedOn w:val="DefaultParagraphFont"/>
    <w:link w:val="Footer"/>
    <w:uiPriority w:val="99"/>
    <w:rsid w:val="00655A0D"/>
    <w:rPr>
      <w:rFonts w:ascii="Times New Roman" w:eastAsia="Times New Roman" w:hAnsi="Times New Roman" w:cs="Times New Roman"/>
      <w:sz w:val="24"/>
      <w:szCs w:val="24"/>
      <w:lang w:val="en-GB"/>
    </w:rPr>
  </w:style>
  <w:style w:type="character" w:styleId="Hyperlink">
    <w:name w:val="Hyperlink"/>
    <w:basedOn w:val="DefaultParagraphFont"/>
    <w:uiPriority w:val="99"/>
    <w:rsid w:val="00655A0D"/>
    <w:rPr>
      <w:color w:val="0000FF" w:themeColor="hyperlink"/>
      <w:u w:val="single"/>
    </w:rPr>
  </w:style>
  <w:style w:type="table" w:styleId="PlainTable2">
    <w:name w:val="Plain Table 2"/>
    <w:basedOn w:val="TableNormal"/>
    <w:uiPriority w:val="42"/>
    <w:rsid w:val="00CD0C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1D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1D1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B1BD9"/>
    <w:rPr>
      <w:rFonts w:ascii="Times New Roman" w:eastAsia="Times New Roman" w:hAnsi="Times New Roman" w:cs="Times New Roman"/>
      <w:b/>
      <w:bCs/>
      <w:sz w:val="36"/>
      <w:szCs w:val="36"/>
      <w:lang w:eastAsia="lv-LV"/>
    </w:rPr>
  </w:style>
  <w:style w:type="paragraph" w:styleId="ListParagraph">
    <w:name w:val="List Paragraph"/>
    <w:basedOn w:val="Normal"/>
    <w:uiPriority w:val="34"/>
    <w:qFormat/>
    <w:rsid w:val="0030082F"/>
    <w:pPr>
      <w:ind w:left="720"/>
      <w:contextualSpacing/>
    </w:pPr>
  </w:style>
  <w:style w:type="character" w:styleId="UnresolvedMention">
    <w:name w:val="Unresolved Mention"/>
    <w:basedOn w:val="DefaultParagraphFont"/>
    <w:uiPriority w:val="99"/>
    <w:semiHidden/>
    <w:unhideWhenUsed/>
    <w:rsid w:val="002A468A"/>
    <w:rPr>
      <w:color w:val="605E5C"/>
      <w:shd w:val="clear" w:color="auto" w:fill="E1DFDD"/>
    </w:rPr>
  </w:style>
  <w:style w:type="character" w:styleId="FollowedHyperlink">
    <w:name w:val="FollowedHyperlink"/>
    <w:basedOn w:val="DefaultParagraphFont"/>
    <w:uiPriority w:val="99"/>
    <w:semiHidden/>
    <w:unhideWhenUsed/>
    <w:rsid w:val="00AC021F"/>
    <w:rPr>
      <w:color w:val="800080" w:themeColor="followedHyperlink"/>
      <w:u w:val="single"/>
    </w:rPr>
  </w:style>
  <w:style w:type="table" w:styleId="TableGrid">
    <w:name w:val="Table Grid"/>
    <w:basedOn w:val="TableNormal"/>
    <w:uiPriority w:val="59"/>
    <w:rsid w:val="00BA4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634377">
      <w:bodyDiv w:val="1"/>
      <w:marLeft w:val="0"/>
      <w:marRight w:val="0"/>
      <w:marTop w:val="0"/>
      <w:marBottom w:val="0"/>
      <w:divBdr>
        <w:top w:val="none" w:sz="0" w:space="0" w:color="auto"/>
        <w:left w:val="none" w:sz="0" w:space="0" w:color="auto"/>
        <w:bottom w:val="none" w:sz="0" w:space="0" w:color="auto"/>
        <w:right w:val="none" w:sz="0" w:space="0" w:color="auto"/>
      </w:divBdr>
    </w:div>
    <w:div w:id="916788035">
      <w:bodyDiv w:val="1"/>
      <w:marLeft w:val="0"/>
      <w:marRight w:val="0"/>
      <w:marTop w:val="0"/>
      <w:marBottom w:val="0"/>
      <w:divBdr>
        <w:top w:val="none" w:sz="0" w:space="0" w:color="auto"/>
        <w:left w:val="none" w:sz="0" w:space="0" w:color="auto"/>
        <w:bottom w:val="none" w:sz="0" w:space="0" w:color="auto"/>
        <w:right w:val="none" w:sz="0" w:space="0" w:color="auto"/>
      </w:divBdr>
    </w:div>
    <w:div w:id="920794824">
      <w:bodyDiv w:val="1"/>
      <w:marLeft w:val="0"/>
      <w:marRight w:val="0"/>
      <w:marTop w:val="0"/>
      <w:marBottom w:val="0"/>
      <w:divBdr>
        <w:top w:val="none" w:sz="0" w:space="0" w:color="auto"/>
        <w:left w:val="none" w:sz="0" w:space="0" w:color="auto"/>
        <w:bottom w:val="none" w:sz="0" w:space="0" w:color="auto"/>
        <w:right w:val="none" w:sz="0" w:space="0" w:color="auto"/>
      </w:divBdr>
    </w:div>
    <w:div w:id="1148746833">
      <w:bodyDiv w:val="1"/>
      <w:marLeft w:val="0"/>
      <w:marRight w:val="0"/>
      <w:marTop w:val="0"/>
      <w:marBottom w:val="0"/>
      <w:divBdr>
        <w:top w:val="none" w:sz="0" w:space="0" w:color="auto"/>
        <w:left w:val="none" w:sz="0" w:space="0" w:color="auto"/>
        <w:bottom w:val="none" w:sz="0" w:space="0" w:color="auto"/>
        <w:right w:val="none" w:sz="0" w:space="0" w:color="auto"/>
      </w:divBdr>
      <w:divsChild>
        <w:div w:id="1075858967">
          <w:marLeft w:val="0"/>
          <w:marRight w:val="0"/>
          <w:marTop w:val="0"/>
          <w:marBottom w:val="0"/>
          <w:divBdr>
            <w:top w:val="none" w:sz="0" w:space="0" w:color="auto"/>
            <w:left w:val="none" w:sz="0" w:space="0" w:color="auto"/>
            <w:bottom w:val="none" w:sz="0" w:space="0" w:color="auto"/>
            <w:right w:val="none" w:sz="0" w:space="0" w:color="auto"/>
          </w:divBdr>
          <w:divsChild>
            <w:div w:id="306860586">
              <w:marLeft w:val="0"/>
              <w:marRight w:val="0"/>
              <w:marTop w:val="0"/>
              <w:marBottom w:val="0"/>
              <w:divBdr>
                <w:top w:val="none" w:sz="0" w:space="0" w:color="auto"/>
                <w:left w:val="none" w:sz="0" w:space="0" w:color="auto"/>
                <w:bottom w:val="none" w:sz="0" w:space="0" w:color="auto"/>
                <w:right w:val="none" w:sz="0" w:space="0" w:color="auto"/>
              </w:divBdr>
              <w:divsChild>
                <w:div w:id="372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21618">
          <w:marLeft w:val="0"/>
          <w:marRight w:val="0"/>
          <w:marTop w:val="0"/>
          <w:marBottom w:val="0"/>
          <w:divBdr>
            <w:top w:val="none" w:sz="0" w:space="0" w:color="auto"/>
            <w:left w:val="none" w:sz="0" w:space="0" w:color="auto"/>
            <w:bottom w:val="none" w:sz="0" w:space="0" w:color="auto"/>
            <w:right w:val="none" w:sz="0" w:space="0" w:color="auto"/>
          </w:divBdr>
          <w:divsChild>
            <w:div w:id="2139057545">
              <w:marLeft w:val="0"/>
              <w:marRight w:val="0"/>
              <w:marTop w:val="0"/>
              <w:marBottom w:val="0"/>
              <w:divBdr>
                <w:top w:val="none" w:sz="0" w:space="0" w:color="auto"/>
                <w:left w:val="none" w:sz="0" w:space="0" w:color="auto"/>
                <w:bottom w:val="none" w:sz="0" w:space="0" w:color="auto"/>
                <w:right w:val="none" w:sz="0" w:space="0" w:color="auto"/>
              </w:divBdr>
              <w:divsChild>
                <w:div w:id="19713956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71484898">
      <w:bodyDiv w:val="1"/>
      <w:marLeft w:val="0"/>
      <w:marRight w:val="0"/>
      <w:marTop w:val="0"/>
      <w:marBottom w:val="0"/>
      <w:divBdr>
        <w:top w:val="none" w:sz="0" w:space="0" w:color="auto"/>
        <w:left w:val="none" w:sz="0" w:space="0" w:color="auto"/>
        <w:bottom w:val="none" w:sz="0" w:space="0" w:color="auto"/>
        <w:right w:val="none" w:sz="0" w:space="0" w:color="auto"/>
      </w:divBdr>
    </w:div>
    <w:div w:id="1341081471">
      <w:bodyDiv w:val="1"/>
      <w:marLeft w:val="0"/>
      <w:marRight w:val="0"/>
      <w:marTop w:val="0"/>
      <w:marBottom w:val="0"/>
      <w:divBdr>
        <w:top w:val="none" w:sz="0" w:space="0" w:color="auto"/>
        <w:left w:val="none" w:sz="0" w:space="0" w:color="auto"/>
        <w:bottom w:val="none" w:sz="0" w:space="0" w:color="auto"/>
        <w:right w:val="none" w:sz="0" w:space="0" w:color="auto"/>
      </w:divBdr>
    </w:div>
    <w:div w:id="203176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data.stat.gov.lv/sq/5616" TargetMode="External"/><Relationship Id="rId26" Type="http://schemas.openxmlformats.org/officeDocument/2006/relationships/hyperlink" Target="https://data.stat.gov.lv/sq/5657" TargetMode="External"/><Relationship Id="rId39" Type="http://schemas.openxmlformats.org/officeDocument/2006/relationships/fontTable" Target="fontTable.xml"/><Relationship Id="rId21" Type="http://schemas.openxmlformats.org/officeDocument/2006/relationships/chart" Target="charts/chart2.xml"/><Relationship Id="rId34" Type="http://schemas.openxmlformats.org/officeDocument/2006/relationships/chart" Target="charts/chart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ata.stat.gov.lv/sq/5652" TargetMode="External"/><Relationship Id="rId29" Type="http://schemas.openxmlformats.org/officeDocument/2006/relationships/hyperlink" Target="https://data.stat.gov.lv:443/sq/566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chart" Target="charts/chart3.xml"/><Relationship Id="rId32" Type="http://schemas.openxmlformats.org/officeDocument/2006/relationships/hyperlink" Target="https://data.stat.gov.lv:443/sq/5666"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ata.stat.gov.lv/sq/5614" TargetMode="External"/><Relationship Id="rId23" Type="http://schemas.openxmlformats.org/officeDocument/2006/relationships/hyperlink" Target="https://data.stat.gov.lv/sq/5631" TargetMode="External"/><Relationship Id="rId28" Type="http://schemas.openxmlformats.org/officeDocument/2006/relationships/image" Target="media/image8.png"/><Relationship Id="rId36" Type="http://schemas.openxmlformats.org/officeDocument/2006/relationships/hyperlink" Target="https://data.stat.gov.lv:443/sq/5667" TargetMode="External"/><Relationship Id="rId10" Type="http://schemas.openxmlformats.org/officeDocument/2006/relationships/comments" Target="comments.xml"/><Relationship Id="rId19" Type="http://schemas.openxmlformats.org/officeDocument/2006/relationships/image" Target="media/image5.png"/><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chart" Target="charts/chart4.xml"/><Relationship Id="rId30" Type="http://schemas.openxmlformats.org/officeDocument/2006/relationships/chart" Target="charts/chart5.xml"/><Relationship Id="rId35" Type="http://schemas.openxmlformats.org/officeDocument/2006/relationships/image" Target="media/image10.png"/><Relationship Id="rId8" Type="http://schemas.openxmlformats.org/officeDocument/2006/relationships/image" Target="media/image1.png"/><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image" Target="media/image4.png"/><Relationship Id="rId25" Type="http://schemas.openxmlformats.org/officeDocument/2006/relationships/image" Target="media/image7.png"/><Relationship Id="rId33" Type="http://schemas.openxmlformats.org/officeDocument/2006/relationships/chart" Target="charts/chart6.xml"/><Relationship Id="rId3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csp.tvptest.vraa.gov.lv/lv/skolenu-sturiti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sp.tvptest.vraa.gov.lv/lv/skolenu-sturiti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urbane\Desktop\Skol&#275;nu%20st&#363;r&#299;tis\Iedz&#299;vot&#257;ji\Ekon%20akt&#299;vi%20un%20neakt&#299;vi%20iedz&#299;vot&#257;ji\Ekonomisk&#257;%20aktivit&#257;te%20p&#275;c%20dzimuma.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iurbane\Desktop\Skol&#275;nu%20st&#363;r&#299;tis\Iedz&#299;vot&#257;ji\Ekon%20akt&#299;vi%20un%20neakt&#299;vi%20iedz&#299;vot&#257;ji\Iedzivotaju_ekonomiska_aktivitat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iurbane\Desktop\Skol&#275;nu%20st&#363;r&#299;tis\Iedz&#299;vot&#257;ji\Ekon%20akt&#299;vi%20un%20neakt&#299;vi%20iedz&#299;vot&#257;ji\Iedzivotaju_ekonomiska_aktivitate.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iurbane\Desktop\Skol&#275;nu%20st&#363;r&#299;tis\Iedz&#299;vot&#257;ji\Ekon%20akt&#299;vi%20un%20neakt&#299;vi%20iedz&#299;vot&#257;ji\Iedzivotaju_ekonomiska_aktivitat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urbane\Desktop\Skol&#275;nu%20st&#363;r&#299;tis\Iedz&#299;vot&#257;ji\Ekon%20akt&#299;vi%20un%20neakt&#299;vi%20iedz&#299;vot&#257;ji\Iedzivotaju_ekonomiska_aktivitat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iurbane\Desktop\Skol&#275;nu%20st&#363;r&#299;tis\Iedz&#299;vot&#257;ji\Ekon%20akt&#299;vi%20un%20neakt&#299;vi%20iedz&#299;vot&#257;ji\Iedzivotaju_ekonomiska_aktivitat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iurbane\Desktop\Skol&#275;nu%20st&#363;r&#299;tis\Iedz&#299;vot&#257;ji\Ekon%20akt&#299;vi%20un%20neakt&#299;vi%20iedz&#299;vot&#257;ji\Iedzivotaju_ekonomiska_aktivitate.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a:t> Iedzīvotāji pēc ekonomiskās aktivitātes un dzimuma (%)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'Ekonomiskā aktivitāte NBA010'!$C$6</c:f>
              <c:strCache>
                <c:ptCount val="1"/>
                <c:pt idx="0">
                  <c:v>Ekonomiski aktīvie iedzīvotāji</c:v>
                </c:pt>
              </c:strCache>
            </c:strRef>
          </c:tx>
          <c:spPr>
            <a:ln w="28575" cap="rnd">
              <a:solidFill>
                <a:schemeClr val="accent6">
                  <a:lumMod val="75000"/>
                </a:schemeClr>
              </a:solidFill>
              <a:round/>
            </a:ln>
            <a:effectLst/>
          </c:spPr>
          <c:marker>
            <c:symbol val="circle"/>
            <c:size val="5"/>
            <c:spPr>
              <a:solidFill>
                <a:schemeClr val="accent6">
                  <a:lumMod val="50000"/>
                </a:schemeClr>
              </a:solidFill>
              <a:ln w="9525">
                <a:noFill/>
              </a:ln>
              <a:effectLst/>
            </c:spPr>
          </c:marker>
          <c:dLbls>
            <c:dLbl>
              <c:idx val="0"/>
              <c:layout>
                <c:manualLayout>
                  <c:x val="-0.05"/>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78-4EBF-9505-F71D1BD1D7C0}"/>
                </c:ext>
              </c:extLst>
            </c:dLbl>
            <c:dLbl>
              <c:idx val="1"/>
              <c:layout>
                <c:manualLayout>
                  <c:x val="-5.8333333333333383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78-4EBF-9505-F71D1BD1D7C0}"/>
                </c:ext>
              </c:extLst>
            </c:dLbl>
            <c:dLbl>
              <c:idx val="2"/>
              <c:layout>
                <c:manualLayout>
                  <c:x val="-5.5555555555555657E-2"/>
                  <c:y val="-4.6296296296296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78-4EBF-9505-F71D1BD1D7C0}"/>
                </c:ext>
              </c:extLst>
            </c:dLbl>
            <c:dLbl>
              <c:idx val="3"/>
              <c:layout>
                <c:manualLayout>
                  <c:x val="-6.1111111111111109E-2"/>
                  <c:y val="-5.5555555555555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78-4EBF-9505-F71D1BD1D7C0}"/>
                </c:ext>
              </c:extLst>
            </c:dLbl>
            <c:dLbl>
              <c:idx val="4"/>
              <c:layout>
                <c:manualLayout>
                  <c:x val="-0.05"/>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F78-4EBF-9505-F71D1BD1D7C0}"/>
                </c:ext>
              </c:extLst>
            </c:dLbl>
            <c:dLbl>
              <c:idx val="5"/>
              <c:layout>
                <c:manualLayout>
                  <c:x val="-5.5555555555555552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78-4EBF-9505-F71D1BD1D7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cat>
            <c:strRef>
              <c:f>'Ekonomiskā aktivitāte NBA010'!$D$5:$I$5</c:f>
              <c:strCache>
                <c:ptCount val="6"/>
                <c:pt idx="0">
                  <c:v>1996</c:v>
                </c:pt>
                <c:pt idx="1">
                  <c:v>1997</c:v>
                </c:pt>
                <c:pt idx="2">
                  <c:v>1998</c:v>
                </c:pt>
                <c:pt idx="3">
                  <c:v>1999</c:v>
                </c:pt>
                <c:pt idx="4">
                  <c:v>2000</c:v>
                </c:pt>
                <c:pt idx="5">
                  <c:v>2001</c:v>
                </c:pt>
              </c:strCache>
            </c:strRef>
          </c:cat>
          <c:val>
            <c:numRef>
              <c:f>'Ekonomiskā aktivitāte NBA010'!$D$6:$I$6</c:f>
              <c:numCache>
                <c:formatCode>0.0</c:formatCode>
                <c:ptCount val="6"/>
                <c:pt idx="0">
                  <c:v>64.5</c:v>
                </c:pt>
                <c:pt idx="1">
                  <c:v>63.2</c:v>
                </c:pt>
                <c:pt idx="2">
                  <c:v>62.4</c:v>
                </c:pt>
                <c:pt idx="3">
                  <c:v>61.6</c:v>
                </c:pt>
                <c:pt idx="4">
                  <c:v>60.1</c:v>
                </c:pt>
                <c:pt idx="5">
                  <c:v>60.5</c:v>
                </c:pt>
              </c:numCache>
            </c:numRef>
          </c:val>
          <c:smooth val="0"/>
          <c:extLst>
            <c:ext xmlns:c16="http://schemas.microsoft.com/office/drawing/2014/chart" uri="{C3380CC4-5D6E-409C-BE32-E72D297353CC}">
              <c16:uniqueId val="{00000006-8F78-4EBF-9505-F71D1BD1D7C0}"/>
            </c:ext>
          </c:extLst>
        </c:ser>
        <c:ser>
          <c:idx val="1"/>
          <c:order val="1"/>
          <c:tx>
            <c:strRef>
              <c:f>'Ekonomiskā aktivitāte NBA010'!$C$7</c:f>
              <c:strCache>
                <c:ptCount val="1"/>
                <c:pt idx="0">
                  <c:v>Ekonomiski neaktīvi iedzīvotāji</c:v>
                </c:pt>
              </c:strCache>
            </c:strRef>
          </c:tx>
          <c:spPr>
            <a:ln w="28575" cap="rnd">
              <a:solidFill>
                <a:schemeClr val="accent1">
                  <a:lumMod val="75000"/>
                </a:schemeClr>
              </a:solidFill>
              <a:round/>
            </a:ln>
            <a:effectLst/>
          </c:spPr>
          <c:marker>
            <c:symbol val="circle"/>
            <c:size val="5"/>
            <c:spPr>
              <a:solidFill>
                <a:schemeClr val="accent1">
                  <a:lumMod val="50000"/>
                </a:schemeClr>
              </a:solidFill>
              <a:ln w="9525">
                <a:noFill/>
              </a:ln>
              <a:effectLst/>
            </c:spPr>
          </c:marker>
          <c:dLbls>
            <c:dLbl>
              <c:idx val="0"/>
              <c:layout>
                <c:manualLayout>
                  <c:x val="-0.05"/>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F78-4EBF-9505-F71D1BD1D7C0}"/>
                </c:ext>
              </c:extLst>
            </c:dLbl>
            <c:dLbl>
              <c:idx val="1"/>
              <c:layout>
                <c:manualLayout>
                  <c:x val="-4.4444444444444446E-2"/>
                  <c:y val="-4.166666666666675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F78-4EBF-9505-F71D1BD1D7C0}"/>
                </c:ext>
              </c:extLst>
            </c:dLbl>
            <c:dLbl>
              <c:idx val="2"/>
              <c:layout>
                <c:manualLayout>
                  <c:x val="-5.2777777777777882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F78-4EBF-9505-F71D1BD1D7C0}"/>
                </c:ext>
              </c:extLst>
            </c:dLbl>
            <c:dLbl>
              <c:idx val="3"/>
              <c:layout>
                <c:manualLayout>
                  <c:x val="-5.2777777777777882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F78-4EBF-9505-F71D1BD1D7C0}"/>
                </c:ext>
              </c:extLst>
            </c:dLbl>
            <c:dLbl>
              <c:idx val="4"/>
              <c:layout>
                <c:manualLayout>
                  <c:x val="-0.05"/>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F78-4EBF-9505-F71D1BD1D7C0}"/>
                </c:ext>
              </c:extLst>
            </c:dLbl>
            <c:dLbl>
              <c:idx val="5"/>
              <c:layout>
                <c:manualLayout>
                  <c:x val="-4.7222222222222117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F78-4EBF-9505-F71D1BD1D7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cat>
            <c:strRef>
              <c:f>'Ekonomiskā aktivitāte NBA010'!$D$5:$I$5</c:f>
              <c:strCache>
                <c:ptCount val="6"/>
                <c:pt idx="0">
                  <c:v>1996</c:v>
                </c:pt>
                <c:pt idx="1">
                  <c:v>1997</c:v>
                </c:pt>
                <c:pt idx="2">
                  <c:v>1998</c:v>
                </c:pt>
                <c:pt idx="3">
                  <c:v>1999</c:v>
                </c:pt>
                <c:pt idx="4">
                  <c:v>2000</c:v>
                </c:pt>
                <c:pt idx="5">
                  <c:v>2001</c:v>
                </c:pt>
              </c:strCache>
            </c:strRef>
          </c:cat>
          <c:val>
            <c:numRef>
              <c:f>'Ekonomiskā aktivitāte NBA010'!$D$7:$I$7</c:f>
              <c:numCache>
                <c:formatCode>0.0</c:formatCode>
                <c:ptCount val="6"/>
                <c:pt idx="0">
                  <c:v>35.5</c:v>
                </c:pt>
                <c:pt idx="1">
                  <c:v>36.799999999999997</c:v>
                </c:pt>
                <c:pt idx="2">
                  <c:v>37.6</c:v>
                </c:pt>
                <c:pt idx="3">
                  <c:v>38.4</c:v>
                </c:pt>
                <c:pt idx="4">
                  <c:v>39.9</c:v>
                </c:pt>
                <c:pt idx="5">
                  <c:v>39.5</c:v>
                </c:pt>
              </c:numCache>
            </c:numRef>
          </c:val>
          <c:smooth val="0"/>
          <c:extLst>
            <c:ext xmlns:c16="http://schemas.microsoft.com/office/drawing/2014/chart" uri="{C3380CC4-5D6E-409C-BE32-E72D297353CC}">
              <c16:uniqueId val="{0000000D-8F78-4EBF-9505-F71D1BD1D7C0}"/>
            </c:ext>
          </c:extLst>
        </c:ser>
        <c:dLbls>
          <c:showLegendKey val="0"/>
          <c:showVal val="0"/>
          <c:showCatName val="0"/>
          <c:showSerName val="0"/>
          <c:showPercent val="0"/>
          <c:showBubbleSize val="0"/>
        </c:dLbls>
        <c:marker val="1"/>
        <c:smooth val="0"/>
        <c:axId val="2049542896"/>
        <c:axId val="2049532496"/>
      </c:lineChart>
      <c:catAx>
        <c:axId val="204954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49532496"/>
        <c:crosses val="autoZero"/>
        <c:auto val="1"/>
        <c:lblAlgn val="ctr"/>
        <c:lblOffset val="100"/>
        <c:noMultiLvlLbl val="0"/>
      </c:catAx>
      <c:valAx>
        <c:axId val="20495324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4954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9EFF7"/>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Nodarbināto iedzīvotāju skaits 1996.-2020.gadā,</a:t>
            </a:r>
            <a:r>
              <a:rPr lang="lv-LV" baseline="0"/>
              <a:t> tūkst.</a:t>
            </a:r>
            <a:endParaRPr lang="lv-L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1"/>
          <c:order val="1"/>
          <c:tx>
            <c:strRef>
              <c:f>'C:\Users\iurbane\Desktop\Skolēnu stūrītis\Iedzīvotāji\Ekon aktīvi un neaktīvi iedzīvotāji\[nodarbinātie, tūkst.xlsx]NBA010'!$C$5</c:f>
              <c:strCache>
                <c:ptCount val="1"/>
                <c:pt idx="0">
                  <c:v>Vīrieši</c:v>
                </c:pt>
              </c:strCache>
            </c:strRef>
          </c:tx>
          <c:spPr>
            <a:solidFill>
              <a:schemeClr val="accent1">
                <a:lumMod val="50000"/>
              </a:schemeClr>
            </a:solidFill>
            <a:ln>
              <a:noFill/>
            </a:ln>
            <a:effectLst/>
          </c:spPr>
          <c:invertIfNegative val="0"/>
          <c:cat>
            <c:strRef>
              <c:f>[1]NBA010!$D$3:$AB$3</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[1]NBA010!$D$5:$AB$5</c:f>
              <c:numCache>
                <c:formatCode>General</c:formatCode>
                <c:ptCount val="25"/>
                <c:pt idx="0">
                  <c:v>492.4</c:v>
                </c:pt>
                <c:pt idx="1">
                  <c:v>506.8</c:v>
                </c:pt>
                <c:pt idx="2">
                  <c:v>510.4</c:v>
                </c:pt>
                <c:pt idx="3">
                  <c:v>502</c:v>
                </c:pt>
                <c:pt idx="4">
                  <c:v>479.2</c:v>
                </c:pt>
                <c:pt idx="5">
                  <c:v>471.3</c:v>
                </c:pt>
                <c:pt idx="6">
                  <c:v>485.1</c:v>
                </c:pt>
                <c:pt idx="7">
                  <c:v>489.6</c:v>
                </c:pt>
                <c:pt idx="8">
                  <c:v>490.1</c:v>
                </c:pt>
                <c:pt idx="9">
                  <c:v>496.7</c:v>
                </c:pt>
                <c:pt idx="10">
                  <c:v>525.70000000000005</c:v>
                </c:pt>
                <c:pt idx="11">
                  <c:v>540.1</c:v>
                </c:pt>
                <c:pt idx="12">
                  <c:v>531.4</c:v>
                </c:pt>
                <c:pt idx="13">
                  <c:v>435</c:v>
                </c:pt>
                <c:pt idx="14">
                  <c:v>402.6</c:v>
                </c:pt>
                <c:pt idx="15">
                  <c:v>416.2</c:v>
                </c:pt>
                <c:pt idx="16">
                  <c:v>428.2</c:v>
                </c:pt>
                <c:pt idx="17">
                  <c:v>440.6</c:v>
                </c:pt>
                <c:pt idx="18">
                  <c:v>438.5</c:v>
                </c:pt>
                <c:pt idx="19">
                  <c:v>444</c:v>
                </c:pt>
                <c:pt idx="20">
                  <c:v>438.2</c:v>
                </c:pt>
                <c:pt idx="21">
                  <c:v>441</c:v>
                </c:pt>
                <c:pt idx="22">
                  <c:v>448.6</c:v>
                </c:pt>
                <c:pt idx="23">
                  <c:v>450.1</c:v>
                </c:pt>
                <c:pt idx="24">
                  <c:v>441.9</c:v>
                </c:pt>
              </c:numCache>
            </c:numRef>
          </c:val>
          <c:extLst>
            <c:ext xmlns:c16="http://schemas.microsoft.com/office/drawing/2014/chart" uri="{C3380CC4-5D6E-409C-BE32-E72D297353CC}">
              <c16:uniqueId val="{00000000-2667-46B5-8D37-D01A25CC58A0}"/>
            </c:ext>
          </c:extLst>
        </c:ser>
        <c:ser>
          <c:idx val="2"/>
          <c:order val="2"/>
          <c:tx>
            <c:strRef>
              <c:f>'C:\Users\iurbane\Desktop\Skolēnu stūrītis\Iedzīvotāji\Ekon aktīvi un neaktīvi iedzīvotāji\[nodarbinātie, tūkst.xlsx]NBA010'!$C$6</c:f>
              <c:strCache>
                <c:ptCount val="1"/>
                <c:pt idx="0">
                  <c:v>Sievietes</c:v>
                </c:pt>
              </c:strCache>
            </c:strRef>
          </c:tx>
          <c:spPr>
            <a:solidFill>
              <a:schemeClr val="accent6">
                <a:lumMod val="75000"/>
              </a:schemeClr>
            </a:solidFill>
            <a:ln>
              <a:noFill/>
            </a:ln>
            <a:effectLst/>
          </c:spPr>
          <c:invertIfNegative val="0"/>
          <c:cat>
            <c:strRef>
              <c:f>[1]NBA010!$D$3:$AB$3</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[1]NBA010!$D$6:$AB$6</c:f>
              <c:numCache>
                <c:formatCode>General</c:formatCode>
                <c:ptCount val="25"/>
                <c:pt idx="0">
                  <c:v>452.8</c:v>
                </c:pt>
                <c:pt idx="1">
                  <c:v>478.7</c:v>
                </c:pt>
                <c:pt idx="2">
                  <c:v>471.6</c:v>
                </c:pt>
                <c:pt idx="3">
                  <c:v>463.2</c:v>
                </c:pt>
                <c:pt idx="4">
                  <c:v>459.8</c:v>
                </c:pt>
                <c:pt idx="5">
                  <c:v>462.3</c:v>
                </c:pt>
                <c:pt idx="6">
                  <c:v>470.3</c:v>
                </c:pt>
                <c:pt idx="7">
                  <c:v>472.5</c:v>
                </c:pt>
                <c:pt idx="8">
                  <c:v>473.8</c:v>
                </c:pt>
                <c:pt idx="9">
                  <c:v>475.6</c:v>
                </c:pt>
                <c:pt idx="10">
                  <c:v>505.2</c:v>
                </c:pt>
                <c:pt idx="11">
                  <c:v>517.29999999999995</c:v>
                </c:pt>
                <c:pt idx="12">
                  <c:v>523.6</c:v>
                </c:pt>
                <c:pt idx="13">
                  <c:v>473.5</c:v>
                </c:pt>
                <c:pt idx="14">
                  <c:v>448.1</c:v>
                </c:pt>
                <c:pt idx="15">
                  <c:v>445.4</c:v>
                </c:pt>
                <c:pt idx="16">
                  <c:v>447.4</c:v>
                </c:pt>
                <c:pt idx="17">
                  <c:v>453.3</c:v>
                </c:pt>
                <c:pt idx="18">
                  <c:v>446.2</c:v>
                </c:pt>
                <c:pt idx="19">
                  <c:v>452.1</c:v>
                </c:pt>
                <c:pt idx="20">
                  <c:v>455.1</c:v>
                </c:pt>
                <c:pt idx="21">
                  <c:v>453.9</c:v>
                </c:pt>
                <c:pt idx="22">
                  <c:v>460.8</c:v>
                </c:pt>
                <c:pt idx="23">
                  <c:v>459.9</c:v>
                </c:pt>
                <c:pt idx="24">
                  <c:v>451</c:v>
                </c:pt>
              </c:numCache>
            </c:numRef>
          </c:val>
          <c:extLst>
            <c:ext xmlns:c16="http://schemas.microsoft.com/office/drawing/2014/chart" uri="{C3380CC4-5D6E-409C-BE32-E72D297353CC}">
              <c16:uniqueId val="{00000001-2667-46B5-8D37-D01A25CC58A0}"/>
            </c:ext>
          </c:extLst>
        </c:ser>
        <c:dLbls>
          <c:showLegendKey val="0"/>
          <c:showVal val="0"/>
          <c:showCatName val="0"/>
          <c:showSerName val="0"/>
          <c:showPercent val="0"/>
          <c:showBubbleSize val="0"/>
        </c:dLbls>
        <c:gapWidth val="219"/>
        <c:overlap val="-27"/>
        <c:axId val="177805103"/>
        <c:axId val="177795119"/>
      </c:barChart>
      <c:lineChart>
        <c:grouping val="standard"/>
        <c:varyColors val="0"/>
        <c:ser>
          <c:idx val="0"/>
          <c:order val="0"/>
          <c:tx>
            <c:strRef>
              <c:f>'C:\Users\iurbane\Desktop\Skolēnu stūrītis\Iedzīvotāji\Ekon aktīvi un neaktīvi iedzīvotāji\[nodarbinātie, tūkst.xlsx]NBA010'!$C$4</c:f>
              <c:strCache>
                <c:ptCount val="1"/>
                <c:pt idx="0">
                  <c:v>Pavisam</c:v>
                </c:pt>
              </c:strCache>
            </c:strRef>
          </c:tx>
          <c:spPr>
            <a:ln w="28575" cap="rnd">
              <a:solidFill>
                <a:schemeClr val="accent1"/>
              </a:solidFill>
              <a:round/>
            </a:ln>
            <a:effectLst/>
          </c:spPr>
          <c:marker>
            <c:symbol val="none"/>
          </c:marker>
          <c:cat>
            <c:strRef>
              <c:f>[1]NBA010!$D$3:$AB$3</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[1]NBA010!$D$4:$AB$4</c:f>
              <c:numCache>
                <c:formatCode>General</c:formatCode>
                <c:ptCount val="25"/>
                <c:pt idx="0">
                  <c:v>945.2</c:v>
                </c:pt>
                <c:pt idx="1">
                  <c:v>985.5</c:v>
                </c:pt>
                <c:pt idx="2">
                  <c:v>982</c:v>
                </c:pt>
                <c:pt idx="3">
                  <c:v>965.1</c:v>
                </c:pt>
                <c:pt idx="4">
                  <c:v>939</c:v>
                </c:pt>
                <c:pt idx="5">
                  <c:v>933.6</c:v>
                </c:pt>
                <c:pt idx="6">
                  <c:v>955.5</c:v>
                </c:pt>
                <c:pt idx="7">
                  <c:v>962.1</c:v>
                </c:pt>
                <c:pt idx="8">
                  <c:v>963.8</c:v>
                </c:pt>
                <c:pt idx="9">
                  <c:v>972.3</c:v>
                </c:pt>
                <c:pt idx="10">
                  <c:v>1030.9000000000001</c:v>
                </c:pt>
                <c:pt idx="11">
                  <c:v>1057.4000000000001</c:v>
                </c:pt>
                <c:pt idx="12">
                  <c:v>1054.9000000000001</c:v>
                </c:pt>
                <c:pt idx="13">
                  <c:v>908.5</c:v>
                </c:pt>
                <c:pt idx="14">
                  <c:v>850.7</c:v>
                </c:pt>
                <c:pt idx="15">
                  <c:v>861.6</c:v>
                </c:pt>
                <c:pt idx="16">
                  <c:v>875.6</c:v>
                </c:pt>
                <c:pt idx="17">
                  <c:v>893.9</c:v>
                </c:pt>
                <c:pt idx="18">
                  <c:v>884.6</c:v>
                </c:pt>
                <c:pt idx="19">
                  <c:v>896.1</c:v>
                </c:pt>
                <c:pt idx="20">
                  <c:v>893.3</c:v>
                </c:pt>
                <c:pt idx="21">
                  <c:v>894.8</c:v>
                </c:pt>
                <c:pt idx="22">
                  <c:v>909.4</c:v>
                </c:pt>
                <c:pt idx="23">
                  <c:v>910</c:v>
                </c:pt>
                <c:pt idx="24">
                  <c:v>893</c:v>
                </c:pt>
              </c:numCache>
            </c:numRef>
          </c:val>
          <c:smooth val="0"/>
          <c:extLst>
            <c:ext xmlns:c16="http://schemas.microsoft.com/office/drawing/2014/chart" uri="{C3380CC4-5D6E-409C-BE32-E72D297353CC}">
              <c16:uniqueId val="{00000002-2667-46B5-8D37-D01A25CC58A0}"/>
            </c:ext>
          </c:extLst>
        </c:ser>
        <c:dLbls>
          <c:showLegendKey val="0"/>
          <c:showVal val="0"/>
          <c:showCatName val="0"/>
          <c:showSerName val="0"/>
          <c:showPercent val="0"/>
          <c:showBubbleSize val="0"/>
        </c:dLbls>
        <c:marker val="1"/>
        <c:smooth val="0"/>
        <c:axId val="177805103"/>
        <c:axId val="177795119"/>
      </c:lineChart>
      <c:catAx>
        <c:axId val="177805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7795119"/>
        <c:crosses val="autoZero"/>
        <c:auto val="1"/>
        <c:lblAlgn val="ctr"/>
        <c:lblOffset val="100"/>
        <c:noMultiLvlLbl val="0"/>
      </c:catAx>
      <c:valAx>
        <c:axId val="177795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7805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DF2F9"/>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v-LV" sz="1200"/>
              <a:t>Nodarbinātības līmenis no 1996.gada līdz 2020.gadam,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4.4230921015541318E-2"/>
          <c:y val="9.8871789059187531E-2"/>
          <c:w val="0.92870659990505999"/>
          <c:h val="0.75111149149834533"/>
        </c:manualLayout>
      </c:layout>
      <c:lineChart>
        <c:grouping val="standard"/>
        <c:varyColors val="0"/>
        <c:ser>
          <c:idx val="0"/>
          <c:order val="0"/>
          <c:spPr>
            <a:ln w="28575" cap="rnd">
              <a:solidFill>
                <a:schemeClr val="accent6">
                  <a:lumMod val="50000"/>
                </a:schemeClr>
              </a:solidFill>
              <a:round/>
            </a:ln>
            <a:effectLst/>
          </c:spPr>
          <c:marker>
            <c:symbol val="none"/>
          </c:marker>
          <c:dLbls>
            <c:dLbl>
              <c:idx val="0"/>
              <c:layout>
                <c:manualLayout>
                  <c:x val="-2.7048528241845671E-2"/>
                  <c:y val="2.93229894756285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CA-4FC9-AD23-6A7FDD020341}"/>
                </c:ext>
              </c:extLst>
            </c:dLbl>
            <c:dLbl>
              <c:idx val="1"/>
              <c:layout>
                <c:manualLayout>
                  <c:x val="-3.1821797931583136E-2"/>
                  <c:y val="-3.19887157915948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CA-4FC9-AD23-6A7FDD020341}"/>
                </c:ext>
              </c:extLst>
            </c:dLbl>
            <c:dLbl>
              <c:idx val="4"/>
              <c:layout>
                <c:manualLayout>
                  <c:x val="-2.8639618138424822E-2"/>
                  <c:y val="2.6657263159662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CA-4FC9-AD23-6A7FDD020341}"/>
                </c:ext>
              </c:extLst>
            </c:dLbl>
            <c:dLbl>
              <c:idx val="12"/>
              <c:layout>
                <c:manualLayout>
                  <c:x val="-2.7048528241845723E-2"/>
                  <c:y val="-3.19887157915947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CA-4FC9-AD23-6A7FDD020341}"/>
                </c:ext>
              </c:extLst>
            </c:dLbl>
            <c:dLbl>
              <c:idx val="14"/>
              <c:layout>
                <c:manualLayout>
                  <c:x val="-3.0230708035003977E-2"/>
                  <c:y val="2.39915368436959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3CA-4FC9-AD23-6A7FDD020341}"/>
                </c:ext>
              </c:extLst>
            </c:dLbl>
            <c:dLbl>
              <c:idx val="23"/>
              <c:layout>
                <c:manualLayout>
                  <c:x val="-3.0230708035003977E-2"/>
                  <c:y val="-3.1988715791594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3CA-4FC9-AD23-6A7FDD020341}"/>
                </c:ext>
              </c:extLst>
            </c:dLbl>
            <c:dLbl>
              <c:idx val="24"/>
              <c:layout>
                <c:manualLayout>
                  <c:x val="-6.3643595863167434E-3"/>
                  <c:y val="-3.19887157915947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3CA-4FC9-AD23-6A7FDD02034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[1]NBA0301!$C$4:$AA$4</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[1]NBA0301!$C$5:$AA$5</c:f>
              <c:numCache>
                <c:formatCode>General</c:formatCode>
                <c:ptCount val="25"/>
                <c:pt idx="0">
                  <c:v>51.1</c:v>
                </c:pt>
                <c:pt idx="1">
                  <c:v>53.6</c:v>
                </c:pt>
                <c:pt idx="2">
                  <c:v>53.6</c:v>
                </c:pt>
                <c:pt idx="3">
                  <c:v>52.7</c:v>
                </c:pt>
                <c:pt idx="4">
                  <c:v>51.4</c:v>
                </c:pt>
                <c:pt idx="5">
                  <c:v>52.2</c:v>
                </c:pt>
                <c:pt idx="6">
                  <c:v>53.9</c:v>
                </c:pt>
                <c:pt idx="7">
                  <c:v>54.5</c:v>
                </c:pt>
                <c:pt idx="8">
                  <c:v>54.9</c:v>
                </c:pt>
                <c:pt idx="9">
                  <c:v>55.9</c:v>
                </c:pt>
                <c:pt idx="10">
                  <c:v>59.7</c:v>
                </c:pt>
                <c:pt idx="11">
                  <c:v>61.6</c:v>
                </c:pt>
                <c:pt idx="12">
                  <c:v>62</c:v>
                </c:pt>
                <c:pt idx="13">
                  <c:v>54.3</c:v>
                </c:pt>
                <c:pt idx="14">
                  <c:v>52</c:v>
                </c:pt>
                <c:pt idx="15">
                  <c:v>54</c:v>
                </c:pt>
                <c:pt idx="16">
                  <c:v>56.1</c:v>
                </c:pt>
                <c:pt idx="17">
                  <c:v>58.2</c:v>
                </c:pt>
                <c:pt idx="18">
                  <c:v>59.1</c:v>
                </c:pt>
                <c:pt idx="19">
                  <c:v>60.9</c:v>
                </c:pt>
                <c:pt idx="20">
                  <c:v>61.6</c:v>
                </c:pt>
                <c:pt idx="21">
                  <c:v>62.9</c:v>
                </c:pt>
                <c:pt idx="22">
                  <c:v>64.5</c:v>
                </c:pt>
                <c:pt idx="23">
                  <c:v>65</c:v>
                </c:pt>
                <c:pt idx="24">
                  <c:v>64.2</c:v>
                </c:pt>
              </c:numCache>
            </c:numRef>
          </c:val>
          <c:smooth val="0"/>
          <c:extLst>
            <c:ext xmlns:c16="http://schemas.microsoft.com/office/drawing/2014/chart" uri="{C3380CC4-5D6E-409C-BE32-E72D297353CC}">
              <c16:uniqueId val="{00000007-63CA-4FC9-AD23-6A7FDD020341}"/>
            </c:ext>
          </c:extLst>
        </c:ser>
        <c:dLbls>
          <c:showLegendKey val="0"/>
          <c:showVal val="0"/>
          <c:showCatName val="0"/>
          <c:showSerName val="0"/>
          <c:showPercent val="0"/>
          <c:showBubbleSize val="0"/>
        </c:dLbls>
        <c:smooth val="0"/>
        <c:axId val="1054859840"/>
        <c:axId val="1054856928"/>
      </c:lineChart>
      <c:catAx>
        <c:axId val="105485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crossAx val="1054856928"/>
        <c:crosses val="autoZero"/>
        <c:auto val="1"/>
        <c:lblAlgn val="ctr"/>
        <c:lblOffset val="100"/>
        <c:noMultiLvlLbl val="0"/>
      </c:catAx>
      <c:valAx>
        <c:axId val="1054856928"/>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54859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DF2F9"/>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a:t>Bezdarbnieku skaits 1996.-2020.</a:t>
            </a:r>
            <a:r>
              <a:rPr lang="lv-LV" sz="1400" baseline="0"/>
              <a:t> gads, tūkst.</a:t>
            </a:r>
            <a:endParaRPr lang="lv-LV" sz="1400"/>
          </a:p>
        </c:rich>
      </c:tx>
      <c:layout>
        <c:manualLayout>
          <c:xMode val="edge"/>
          <c:yMode val="edge"/>
          <c:x val="0.20876327693080918"/>
          <c:y val="2.975996858862453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1"/>
          <c:order val="1"/>
          <c:tx>
            <c:strRef>
              <c:f>'C:\Users\iurbane\Desktop\Skolēnu stūrītis\Iedzīvotāji\Ekon aktīvi un neaktīvi iedzīvotāji\[Bezdarbs.xlsx]NBA010'!$C$6</c:f>
              <c:strCache>
                <c:ptCount val="1"/>
                <c:pt idx="0">
                  <c:v>Vīrieši</c:v>
                </c:pt>
              </c:strCache>
            </c:strRef>
          </c:tx>
          <c:spPr>
            <a:solidFill>
              <a:schemeClr val="accent1">
                <a:lumMod val="50000"/>
              </a:schemeClr>
            </a:solidFill>
            <a:ln>
              <a:noFill/>
            </a:ln>
            <a:effectLst/>
          </c:spPr>
          <c:invertIfNegative val="0"/>
          <c:cat>
            <c:strRef>
              <c:f>[3]NBA010!$D$4:$AB$4</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[3]NBA010!$D$6:$AB$6</c:f>
              <c:numCache>
                <c:formatCode>General</c:formatCode>
                <c:ptCount val="25"/>
                <c:pt idx="0">
                  <c:v>131.1</c:v>
                </c:pt>
                <c:pt idx="1">
                  <c:v>92.2</c:v>
                </c:pt>
                <c:pt idx="2">
                  <c:v>86.4</c:v>
                </c:pt>
                <c:pt idx="3">
                  <c:v>88.7</c:v>
                </c:pt>
                <c:pt idx="4">
                  <c:v>86.9</c:v>
                </c:pt>
                <c:pt idx="5">
                  <c:v>81.7</c:v>
                </c:pt>
                <c:pt idx="6">
                  <c:v>73.900000000000006</c:v>
                </c:pt>
                <c:pt idx="7">
                  <c:v>64.2</c:v>
                </c:pt>
                <c:pt idx="8">
                  <c:v>63.7</c:v>
                </c:pt>
                <c:pt idx="9">
                  <c:v>55.8</c:v>
                </c:pt>
                <c:pt idx="10">
                  <c:v>41.5</c:v>
                </c:pt>
                <c:pt idx="11">
                  <c:v>37.6</c:v>
                </c:pt>
                <c:pt idx="12">
                  <c:v>48.6</c:v>
                </c:pt>
                <c:pt idx="13">
                  <c:v>114.9</c:v>
                </c:pt>
                <c:pt idx="14">
                  <c:v>118.5</c:v>
                </c:pt>
                <c:pt idx="15">
                  <c:v>95.3</c:v>
                </c:pt>
                <c:pt idx="16">
                  <c:v>82.6</c:v>
                </c:pt>
                <c:pt idx="17">
                  <c:v>63.5</c:v>
                </c:pt>
                <c:pt idx="18">
                  <c:v>58.9</c:v>
                </c:pt>
                <c:pt idx="19">
                  <c:v>55.4</c:v>
                </c:pt>
                <c:pt idx="20">
                  <c:v>53.6</c:v>
                </c:pt>
                <c:pt idx="21">
                  <c:v>47.7</c:v>
                </c:pt>
                <c:pt idx="22">
                  <c:v>41.2</c:v>
                </c:pt>
                <c:pt idx="23">
                  <c:v>34.9</c:v>
                </c:pt>
                <c:pt idx="24">
                  <c:v>44.4</c:v>
                </c:pt>
              </c:numCache>
            </c:numRef>
          </c:val>
          <c:extLst>
            <c:ext xmlns:c16="http://schemas.microsoft.com/office/drawing/2014/chart" uri="{C3380CC4-5D6E-409C-BE32-E72D297353CC}">
              <c16:uniqueId val="{00000000-7644-4544-AAEC-0E8A84916745}"/>
            </c:ext>
          </c:extLst>
        </c:ser>
        <c:ser>
          <c:idx val="2"/>
          <c:order val="2"/>
          <c:tx>
            <c:strRef>
              <c:f>'C:\Users\iurbane\Desktop\Skolēnu stūrītis\Iedzīvotāji\Ekon aktīvi un neaktīvi iedzīvotāji\[Bezdarbs.xlsx]NBA010'!$C$7</c:f>
              <c:strCache>
                <c:ptCount val="1"/>
                <c:pt idx="0">
                  <c:v>Sievietes</c:v>
                </c:pt>
              </c:strCache>
            </c:strRef>
          </c:tx>
          <c:spPr>
            <a:solidFill>
              <a:schemeClr val="accent6">
                <a:lumMod val="75000"/>
              </a:schemeClr>
            </a:solidFill>
            <a:ln>
              <a:noFill/>
            </a:ln>
            <a:effectLst/>
          </c:spPr>
          <c:invertIfNegative val="0"/>
          <c:cat>
            <c:strRef>
              <c:f>[3]NBA010!$D$4:$AB$4</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[3]NBA010!$D$7:$AB$7</c:f>
              <c:numCache>
                <c:formatCode>General</c:formatCode>
                <c:ptCount val="25"/>
                <c:pt idx="0">
                  <c:v>115.8</c:v>
                </c:pt>
                <c:pt idx="1">
                  <c:v>84.1</c:v>
                </c:pt>
                <c:pt idx="2">
                  <c:v>75.900000000000006</c:v>
                </c:pt>
                <c:pt idx="3">
                  <c:v>72.7</c:v>
                </c:pt>
                <c:pt idx="4">
                  <c:v>71.5</c:v>
                </c:pt>
                <c:pt idx="5">
                  <c:v>66.5</c:v>
                </c:pt>
                <c:pt idx="6">
                  <c:v>62.4</c:v>
                </c:pt>
                <c:pt idx="7">
                  <c:v>62.5</c:v>
                </c:pt>
                <c:pt idx="8">
                  <c:v>64.599999999999994</c:v>
                </c:pt>
                <c:pt idx="9">
                  <c:v>52.7</c:v>
                </c:pt>
                <c:pt idx="10">
                  <c:v>36.5</c:v>
                </c:pt>
                <c:pt idx="11">
                  <c:v>30.5</c:v>
                </c:pt>
                <c:pt idx="12">
                  <c:v>39.9</c:v>
                </c:pt>
                <c:pt idx="13">
                  <c:v>78</c:v>
                </c:pt>
                <c:pt idx="14">
                  <c:v>87.3</c:v>
                </c:pt>
                <c:pt idx="15">
                  <c:v>71.3</c:v>
                </c:pt>
                <c:pt idx="16">
                  <c:v>72.5</c:v>
                </c:pt>
                <c:pt idx="17">
                  <c:v>56.9</c:v>
                </c:pt>
                <c:pt idx="18">
                  <c:v>48.7</c:v>
                </c:pt>
                <c:pt idx="19">
                  <c:v>42.8</c:v>
                </c:pt>
                <c:pt idx="20">
                  <c:v>41.8</c:v>
                </c:pt>
                <c:pt idx="21">
                  <c:v>37.799999999999997</c:v>
                </c:pt>
                <c:pt idx="22">
                  <c:v>31.6</c:v>
                </c:pt>
                <c:pt idx="23">
                  <c:v>26.4</c:v>
                </c:pt>
                <c:pt idx="24">
                  <c:v>34.299999999999997</c:v>
                </c:pt>
              </c:numCache>
            </c:numRef>
          </c:val>
          <c:extLst>
            <c:ext xmlns:c16="http://schemas.microsoft.com/office/drawing/2014/chart" uri="{C3380CC4-5D6E-409C-BE32-E72D297353CC}">
              <c16:uniqueId val="{00000001-7644-4544-AAEC-0E8A84916745}"/>
            </c:ext>
          </c:extLst>
        </c:ser>
        <c:dLbls>
          <c:showLegendKey val="0"/>
          <c:showVal val="0"/>
          <c:showCatName val="0"/>
          <c:showSerName val="0"/>
          <c:showPercent val="0"/>
          <c:showBubbleSize val="0"/>
        </c:dLbls>
        <c:gapWidth val="219"/>
        <c:overlap val="-27"/>
        <c:axId val="496160256"/>
        <c:axId val="496152768"/>
      </c:barChart>
      <c:lineChart>
        <c:grouping val="standard"/>
        <c:varyColors val="0"/>
        <c:ser>
          <c:idx val="0"/>
          <c:order val="0"/>
          <c:tx>
            <c:strRef>
              <c:f>'C:\Users\iurbane\Desktop\Skolēnu stūrītis\Iedzīvotāji\Ekon aktīvi un neaktīvi iedzīvotāji\[Bezdarbs.xlsx]NBA010'!$C$5</c:f>
              <c:strCache>
                <c:ptCount val="1"/>
                <c:pt idx="0">
                  <c:v>Pavisam</c:v>
                </c:pt>
              </c:strCache>
            </c:strRef>
          </c:tx>
          <c:spPr>
            <a:ln w="28575" cap="rnd">
              <a:solidFill>
                <a:schemeClr val="accent6">
                  <a:lumMod val="50000"/>
                </a:schemeClr>
              </a:solidFill>
              <a:round/>
            </a:ln>
            <a:effectLst/>
          </c:spPr>
          <c:marker>
            <c:symbol val="none"/>
          </c:marker>
          <c:cat>
            <c:strRef>
              <c:f>[3]NBA010!$D$4:$AB$4</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[3]NBA010!$D$5:$AB$5</c:f>
              <c:numCache>
                <c:formatCode>General</c:formatCode>
                <c:ptCount val="25"/>
                <c:pt idx="0">
                  <c:v>246.9</c:v>
                </c:pt>
                <c:pt idx="1">
                  <c:v>176.2</c:v>
                </c:pt>
                <c:pt idx="2">
                  <c:v>162.30000000000001</c:v>
                </c:pt>
                <c:pt idx="3">
                  <c:v>161.4</c:v>
                </c:pt>
                <c:pt idx="4">
                  <c:v>158.30000000000001</c:v>
                </c:pt>
                <c:pt idx="5">
                  <c:v>148.19999999999999</c:v>
                </c:pt>
                <c:pt idx="6">
                  <c:v>136.30000000000001</c:v>
                </c:pt>
                <c:pt idx="7">
                  <c:v>126.8</c:v>
                </c:pt>
                <c:pt idx="8">
                  <c:v>128.30000000000001</c:v>
                </c:pt>
                <c:pt idx="9">
                  <c:v>108.4</c:v>
                </c:pt>
                <c:pt idx="10">
                  <c:v>78</c:v>
                </c:pt>
                <c:pt idx="11">
                  <c:v>68.099999999999994</c:v>
                </c:pt>
                <c:pt idx="12">
                  <c:v>88.5</c:v>
                </c:pt>
                <c:pt idx="13">
                  <c:v>192.9</c:v>
                </c:pt>
                <c:pt idx="14">
                  <c:v>205.8</c:v>
                </c:pt>
                <c:pt idx="15">
                  <c:v>166.6</c:v>
                </c:pt>
                <c:pt idx="16">
                  <c:v>155.1</c:v>
                </c:pt>
                <c:pt idx="17">
                  <c:v>120.4</c:v>
                </c:pt>
                <c:pt idx="18">
                  <c:v>107.6</c:v>
                </c:pt>
                <c:pt idx="19">
                  <c:v>98.2</c:v>
                </c:pt>
                <c:pt idx="20">
                  <c:v>95.3</c:v>
                </c:pt>
                <c:pt idx="21">
                  <c:v>85.4</c:v>
                </c:pt>
                <c:pt idx="22">
                  <c:v>72.8</c:v>
                </c:pt>
                <c:pt idx="23">
                  <c:v>61.3</c:v>
                </c:pt>
                <c:pt idx="24">
                  <c:v>78.7</c:v>
                </c:pt>
              </c:numCache>
            </c:numRef>
          </c:val>
          <c:smooth val="0"/>
          <c:extLst>
            <c:ext xmlns:c16="http://schemas.microsoft.com/office/drawing/2014/chart" uri="{C3380CC4-5D6E-409C-BE32-E72D297353CC}">
              <c16:uniqueId val="{00000002-7644-4544-AAEC-0E8A84916745}"/>
            </c:ext>
          </c:extLst>
        </c:ser>
        <c:dLbls>
          <c:showLegendKey val="0"/>
          <c:showVal val="0"/>
          <c:showCatName val="0"/>
          <c:showSerName val="0"/>
          <c:showPercent val="0"/>
          <c:showBubbleSize val="0"/>
        </c:dLbls>
        <c:marker val="1"/>
        <c:smooth val="0"/>
        <c:axId val="496160256"/>
        <c:axId val="496152768"/>
      </c:lineChart>
      <c:catAx>
        <c:axId val="49616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crossAx val="496152768"/>
        <c:crosses val="autoZero"/>
        <c:auto val="1"/>
        <c:lblAlgn val="ctr"/>
        <c:lblOffset val="100"/>
        <c:noMultiLvlLbl val="0"/>
      </c:catAx>
      <c:valAx>
        <c:axId val="496152768"/>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crossAx val="49616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DF2F9"/>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Bezdarba līmenis no 1996.-2020.gadam, procentos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spPr>
            <a:ln w="28575" cap="rnd">
              <a:solidFill>
                <a:schemeClr val="accent6">
                  <a:lumMod val="50000"/>
                </a:schemeClr>
              </a:solidFill>
              <a:round/>
            </a:ln>
            <a:effectLst/>
          </c:spPr>
          <c:marker>
            <c:symbol val="circle"/>
            <c:size val="5"/>
            <c:spPr>
              <a:solidFill>
                <a:schemeClr val="accent6">
                  <a:lumMod val="50000"/>
                </a:schemeClr>
              </a:solidFill>
              <a:ln w="9525">
                <a:noFill/>
              </a:ln>
              <a:effectLst/>
            </c:spPr>
          </c:marker>
          <c:dLbls>
            <c:dLbl>
              <c:idx val="1"/>
              <c:layout>
                <c:manualLayout>
                  <c:x val="-2.3693004255050176E-2"/>
                  <c:y val="-2.81004129279737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0D-41A2-A7C4-1285C4DD814C}"/>
                </c:ext>
              </c:extLst>
            </c:dLbl>
            <c:dLbl>
              <c:idx val="2"/>
              <c:layout>
                <c:manualLayout>
                  <c:x val="-3.7742176357408432E-2"/>
                  <c:y val="3.20431581426002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0D-41A2-A7C4-1285C4DD814C}"/>
                </c:ext>
              </c:extLst>
            </c:dLbl>
            <c:dLbl>
              <c:idx val="4"/>
              <c:layout>
                <c:manualLayout>
                  <c:x val="-3.9749200943459628E-2"/>
                  <c:y val="3.53844676465209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0D-41A2-A7C4-1285C4DD814C}"/>
                </c:ext>
              </c:extLst>
            </c:dLbl>
            <c:dLbl>
              <c:idx val="7"/>
              <c:layout>
                <c:manualLayout>
                  <c:x val="-3.5735151771357269E-2"/>
                  <c:y val="2.87018486386794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0D-41A2-A7C4-1285C4DD814C}"/>
                </c:ext>
              </c:extLst>
            </c:dLbl>
            <c:dLbl>
              <c:idx val="11"/>
              <c:layout>
                <c:manualLayout>
                  <c:x val="-3.0396466372461094E-2"/>
                  <c:y val="3.53844676465209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0D-41A2-A7C4-1285C4DD814C}"/>
                </c:ext>
              </c:extLst>
            </c:dLbl>
            <c:dLbl>
              <c:idx val="12"/>
              <c:layout>
                <c:manualLayout>
                  <c:x val="-8.3191959258980507E-3"/>
                  <c:y val="-4.711246400528295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0D-41A2-A7C4-1285C4DD814C}"/>
                </c:ext>
              </c:extLst>
            </c:dLbl>
            <c:dLbl>
              <c:idx val="18"/>
              <c:layout>
                <c:manualLayout>
                  <c:x val="-2.9714078013203839E-2"/>
                  <c:y val="-2.47591034240528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0D-41A2-A7C4-1285C4DD814C}"/>
                </c:ext>
              </c:extLst>
            </c:dLbl>
            <c:dLbl>
              <c:idx val="19"/>
              <c:layout>
                <c:manualLayout>
                  <c:x val="-2.8389441786409914E-2"/>
                  <c:y val="2.87018486386794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0D-41A2-A7C4-1285C4DD814C}"/>
                </c:ext>
              </c:extLst>
            </c:dLbl>
            <c:dLbl>
              <c:idx val="20"/>
              <c:layout>
                <c:manualLayout>
                  <c:x val="-2.8389441786409914E-2"/>
                  <c:y val="-3.14417224318945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80D-41A2-A7C4-1285C4DD814C}"/>
                </c:ext>
              </c:extLst>
            </c:dLbl>
            <c:dLbl>
              <c:idx val="21"/>
              <c:layout>
                <c:manualLayout>
                  <c:x val="-2.8389441786410063E-2"/>
                  <c:y val="3.53844676465210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80D-41A2-A7C4-1285C4DD814C}"/>
                </c:ext>
              </c:extLst>
            </c:dLbl>
            <c:dLbl>
              <c:idx val="22"/>
              <c:layout>
                <c:manualLayout>
                  <c:x val="-3.0396466372461094E-2"/>
                  <c:y val="-3.4783031935815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80D-41A2-A7C4-1285C4DD814C}"/>
                </c:ext>
              </c:extLst>
            </c:dLbl>
            <c:dLbl>
              <c:idx val="23"/>
              <c:layout>
                <c:manualLayout>
                  <c:x val="-3.0396466372461094E-2"/>
                  <c:y val="2.87018486386794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80D-41A2-A7C4-1285C4DD814C}"/>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[1]NBB010!$D$3:$AB$3</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[1]NBB010!$D$4:$AB$4</c:f>
              <c:numCache>
                <c:formatCode>0.0</c:formatCode>
                <c:ptCount val="25"/>
                <c:pt idx="0">
                  <c:v>20.7</c:v>
                </c:pt>
                <c:pt idx="1">
                  <c:v>15.2</c:v>
                </c:pt>
                <c:pt idx="2">
                  <c:v>14.2</c:v>
                </c:pt>
                <c:pt idx="3">
                  <c:v>14.3</c:v>
                </c:pt>
                <c:pt idx="4">
                  <c:v>14.4</c:v>
                </c:pt>
                <c:pt idx="5">
                  <c:v>13.7</c:v>
                </c:pt>
                <c:pt idx="6">
                  <c:v>12.5</c:v>
                </c:pt>
                <c:pt idx="7">
                  <c:v>11.6</c:v>
                </c:pt>
                <c:pt idx="8">
                  <c:v>11.8</c:v>
                </c:pt>
                <c:pt idx="9">
                  <c:v>10</c:v>
                </c:pt>
                <c:pt idx="10">
                  <c:v>7</c:v>
                </c:pt>
                <c:pt idx="11">
                  <c:v>6.1</c:v>
                </c:pt>
                <c:pt idx="12">
                  <c:v>7.7</c:v>
                </c:pt>
                <c:pt idx="13">
                  <c:v>17.5</c:v>
                </c:pt>
                <c:pt idx="14">
                  <c:v>19.5</c:v>
                </c:pt>
                <c:pt idx="15">
                  <c:v>16.2</c:v>
                </c:pt>
                <c:pt idx="16">
                  <c:v>15.1</c:v>
                </c:pt>
                <c:pt idx="17">
                  <c:v>11.9</c:v>
                </c:pt>
                <c:pt idx="18">
                  <c:v>10.9</c:v>
                </c:pt>
                <c:pt idx="19">
                  <c:v>9.9</c:v>
                </c:pt>
                <c:pt idx="20">
                  <c:v>9.6</c:v>
                </c:pt>
                <c:pt idx="21">
                  <c:v>8.6999999999999993</c:v>
                </c:pt>
                <c:pt idx="22">
                  <c:v>7.4</c:v>
                </c:pt>
                <c:pt idx="23">
                  <c:v>6.3</c:v>
                </c:pt>
                <c:pt idx="24">
                  <c:v>8.1</c:v>
                </c:pt>
              </c:numCache>
            </c:numRef>
          </c:val>
          <c:smooth val="0"/>
          <c:extLst>
            <c:ext xmlns:c16="http://schemas.microsoft.com/office/drawing/2014/chart" uri="{C3380CC4-5D6E-409C-BE32-E72D297353CC}">
              <c16:uniqueId val="{0000000C-580D-41A2-A7C4-1285C4DD814C}"/>
            </c:ext>
          </c:extLst>
        </c:ser>
        <c:dLbls>
          <c:showLegendKey val="0"/>
          <c:showVal val="0"/>
          <c:showCatName val="0"/>
          <c:showSerName val="0"/>
          <c:showPercent val="0"/>
          <c:showBubbleSize val="0"/>
        </c:dLbls>
        <c:marker val="1"/>
        <c:smooth val="0"/>
        <c:axId val="266102768"/>
        <c:axId val="266106928"/>
      </c:lineChart>
      <c:catAx>
        <c:axId val="26610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crossAx val="266106928"/>
        <c:crosses val="autoZero"/>
        <c:auto val="1"/>
        <c:lblAlgn val="ctr"/>
        <c:lblOffset val="100"/>
        <c:noMultiLvlLbl val="0"/>
      </c:catAx>
      <c:valAx>
        <c:axId val="2661069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crossAx val="266102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6EDF6"/>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v-LV" sz="1200"/>
              <a:t>Nodarbinātie pēc izglītības līmeņa, 1996.-2020.gads, procentos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'[Nodarbin., bezdarbn. pec izglitibas liimena NBA060.xlsx]Nodarbinātie'!$B$4</c:f>
              <c:strCache>
                <c:ptCount val="1"/>
                <c:pt idx="0">
                  <c:v>Augstākā izglītība</c:v>
                </c:pt>
              </c:strCache>
            </c:strRef>
          </c:tx>
          <c:spPr>
            <a:ln w="28575" cap="rnd">
              <a:solidFill>
                <a:schemeClr val="accent4">
                  <a:lumMod val="75000"/>
                </a:schemeClr>
              </a:solidFill>
              <a:round/>
            </a:ln>
            <a:effectLst/>
          </c:spPr>
          <c:marker>
            <c:symbol val="none"/>
          </c:marker>
          <c:cat>
            <c:strRef>
              <c:f>[1]Nodarbinātie!$C$3:$AA$3</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[1]Nodarbinātie!$C$4:$AA$4</c:f>
              <c:numCache>
                <c:formatCode>0.0</c:formatCode>
                <c:ptCount val="25"/>
                <c:pt idx="0">
                  <c:v>19.3</c:v>
                </c:pt>
                <c:pt idx="1">
                  <c:v>17.600000000000001</c:v>
                </c:pt>
                <c:pt idx="2">
                  <c:v>19.3</c:v>
                </c:pt>
                <c:pt idx="3">
                  <c:v>20.3</c:v>
                </c:pt>
                <c:pt idx="4">
                  <c:v>21.3</c:v>
                </c:pt>
                <c:pt idx="5">
                  <c:v>21.1</c:v>
                </c:pt>
                <c:pt idx="6">
                  <c:v>21.7</c:v>
                </c:pt>
                <c:pt idx="7">
                  <c:v>20.3</c:v>
                </c:pt>
                <c:pt idx="8">
                  <c:v>22.7</c:v>
                </c:pt>
                <c:pt idx="9">
                  <c:v>23.1</c:v>
                </c:pt>
                <c:pt idx="10">
                  <c:v>23.1</c:v>
                </c:pt>
                <c:pt idx="11">
                  <c:v>23.8</c:v>
                </c:pt>
                <c:pt idx="12">
                  <c:v>26.8</c:v>
                </c:pt>
                <c:pt idx="13">
                  <c:v>29.5</c:v>
                </c:pt>
                <c:pt idx="14">
                  <c:v>31.1</c:v>
                </c:pt>
                <c:pt idx="15">
                  <c:v>32.5</c:v>
                </c:pt>
                <c:pt idx="16">
                  <c:v>34.200000000000003</c:v>
                </c:pt>
                <c:pt idx="17">
                  <c:v>35.200000000000003</c:v>
                </c:pt>
                <c:pt idx="18">
                  <c:v>34</c:v>
                </c:pt>
                <c:pt idx="19">
                  <c:v>35.1</c:v>
                </c:pt>
                <c:pt idx="20">
                  <c:v>37.1</c:v>
                </c:pt>
                <c:pt idx="21">
                  <c:v>37.200000000000003</c:v>
                </c:pt>
                <c:pt idx="22">
                  <c:v>37.299999999999997</c:v>
                </c:pt>
                <c:pt idx="23">
                  <c:v>38.700000000000003</c:v>
                </c:pt>
                <c:pt idx="24">
                  <c:v>40.200000000000003</c:v>
                </c:pt>
              </c:numCache>
            </c:numRef>
          </c:val>
          <c:smooth val="0"/>
          <c:extLst>
            <c:ext xmlns:c16="http://schemas.microsoft.com/office/drawing/2014/chart" uri="{C3380CC4-5D6E-409C-BE32-E72D297353CC}">
              <c16:uniqueId val="{00000000-7389-46FF-8C19-9CC64F4AC5EF}"/>
            </c:ext>
          </c:extLst>
        </c:ser>
        <c:ser>
          <c:idx val="1"/>
          <c:order val="1"/>
          <c:tx>
            <c:strRef>
              <c:f>'[Nodarbin., bezdarbn. pec izglitibas liimena NBA060.xlsx]Nodarbinātie'!$B$5</c:f>
              <c:strCache>
                <c:ptCount val="1"/>
                <c:pt idx="0">
                  <c:v>Arodizglītība vai profesionālā vidējā izglītība</c:v>
                </c:pt>
              </c:strCache>
            </c:strRef>
          </c:tx>
          <c:spPr>
            <a:ln w="28575" cap="rnd">
              <a:solidFill>
                <a:schemeClr val="accent6">
                  <a:lumMod val="75000"/>
                </a:schemeClr>
              </a:solidFill>
              <a:round/>
            </a:ln>
            <a:effectLst/>
          </c:spPr>
          <c:marker>
            <c:symbol val="none"/>
          </c:marker>
          <c:cat>
            <c:strRef>
              <c:f>[1]Nodarbinātie!$C$3:$AA$3</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[1]Nodarbinātie!$C$5:$AA$5</c:f>
              <c:numCache>
                <c:formatCode>0.0</c:formatCode>
                <c:ptCount val="25"/>
                <c:pt idx="0">
                  <c:v>45.6</c:v>
                </c:pt>
                <c:pt idx="1">
                  <c:v>43.7</c:v>
                </c:pt>
                <c:pt idx="2">
                  <c:v>42.5</c:v>
                </c:pt>
                <c:pt idx="3">
                  <c:v>42.7</c:v>
                </c:pt>
                <c:pt idx="4">
                  <c:v>41</c:v>
                </c:pt>
                <c:pt idx="5">
                  <c:v>38.799999999999997</c:v>
                </c:pt>
                <c:pt idx="6">
                  <c:v>39.6</c:v>
                </c:pt>
                <c:pt idx="7">
                  <c:v>40.9</c:v>
                </c:pt>
                <c:pt idx="8">
                  <c:v>38.799999999999997</c:v>
                </c:pt>
                <c:pt idx="9">
                  <c:v>37.799999999999997</c:v>
                </c:pt>
                <c:pt idx="10">
                  <c:v>37.299999999999997</c:v>
                </c:pt>
                <c:pt idx="11">
                  <c:v>35.700000000000003</c:v>
                </c:pt>
                <c:pt idx="12">
                  <c:v>35.299999999999997</c:v>
                </c:pt>
                <c:pt idx="13">
                  <c:v>35.6</c:v>
                </c:pt>
                <c:pt idx="14">
                  <c:v>35.799999999999997</c:v>
                </c:pt>
                <c:pt idx="15">
                  <c:v>35.299999999999997</c:v>
                </c:pt>
                <c:pt idx="16">
                  <c:v>34</c:v>
                </c:pt>
                <c:pt idx="17">
                  <c:v>33.200000000000003</c:v>
                </c:pt>
                <c:pt idx="18">
                  <c:v>34</c:v>
                </c:pt>
                <c:pt idx="19">
                  <c:v>34.1</c:v>
                </c:pt>
                <c:pt idx="20">
                  <c:v>32.6</c:v>
                </c:pt>
                <c:pt idx="21">
                  <c:v>30.7</c:v>
                </c:pt>
                <c:pt idx="22">
                  <c:v>30.7</c:v>
                </c:pt>
                <c:pt idx="23">
                  <c:v>29.4</c:v>
                </c:pt>
                <c:pt idx="24">
                  <c:v>29.6</c:v>
                </c:pt>
              </c:numCache>
            </c:numRef>
          </c:val>
          <c:smooth val="0"/>
          <c:extLst>
            <c:ext xmlns:c16="http://schemas.microsoft.com/office/drawing/2014/chart" uri="{C3380CC4-5D6E-409C-BE32-E72D297353CC}">
              <c16:uniqueId val="{00000001-7389-46FF-8C19-9CC64F4AC5EF}"/>
            </c:ext>
          </c:extLst>
        </c:ser>
        <c:ser>
          <c:idx val="2"/>
          <c:order val="2"/>
          <c:tx>
            <c:strRef>
              <c:f>'[Nodarbin., bezdarbn. pec izglitibas liimena NBA060.xlsx]Nodarbinātie'!$B$6</c:f>
              <c:strCache>
                <c:ptCount val="1"/>
                <c:pt idx="0">
                  <c:v>Vispārējā vidējā izglītība</c:v>
                </c:pt>
              </c:strCache>
            </c:strRef>
          </c:tx>
          <c:spPr>
            <a:ln w="28575" cap="rnd">
              <a:solidFill>
                <a:schemeClr val="accent3"/>
              </a:solidFill>
              <a:round/>
            </a:ln>
            <a:effectLst/>
          </c:spPr>
          <c:marker>
            <c:symbol val="none"/>
          </c:marker>
          <c:cat>
            <c:strRef>
              <c:f>[1]Nodarbinātie!$C$3:$AA$3</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[1]Nodarbinātie!$C$6:$AA$6</c:f>
              <c:numCache>
                <c:formatCode>0.0</c:formatCode>
                <c:ptCount val="25"/>
                <c:pt idx="0">
                  <c:v>21</c:v>
                </c:pt>
                <c:pt idx="1">
                  <c:v>23.1</c:v>
                </c:pt>
                <c:pt idx="2">
                  <c:v>24.2</c:v>
                </c:pt>
                <c:pt idx="3">
                  <c:v>23.8</c:v>
                </c:pt>
                <c:pt idx="4">
                  <c:v>24.7</c:v>
                </c:pt>
                <c:pt idx="5">
                  <c:v>22.9</c:v>
                </c:pt>
                <c:pt idx="6">
                  <c:v>24.2</c:v>
                </c:pt>
                <c:pt idx="7">
                  <c:v>24.8</c:v>
                </c:pt>
                <c:pt idx="8">
                  <c:v>25.3</c:v>
                </c:pt>
                <c:pt idx="9">
                  <c:v>25.6</c:v>
                </c:pt>
                <c:pt idx="10">
                  <c:v>25.6</c:v>
                </c:pt>
                <c:pt idx="11">
                  <c:v>26.3</c:v>
                </c:pt>
                <c:pt idx="12">
                  <c:v>25.5</c:v>
                </c:pt>
                <c:pt idx="13">
                  <c:v>24.4</c:v>
                </c:pt>
                <c:pt idx="14">
                  <c:v>23.8</c:v>
                </c:pt>
                <c:pt idx="15">
                  <c:v>22.7</c:v>
                </c:pt>
                <c:pt idx="16">
                  <c:v>22.9</c:v>
                </c:pt>
                <c:pt idx="17">
                  <c:v>23.5</c:v>
                </c:pt>
                <c:pt idx="18">
                  <c:v>23.9</c:v>
                </c:pt>
                <c:pt idx="19">
                  <c:v>22.7</c:v>
                </c:pt>
                <c:pt idx="20">
                  <c:v>22.5</c:v>
                </c:pt>
                <c:pt idx="21">
                  <c:v>24.3</c:v>
                </c:pt>
                <c:pt idx="22">
                  <c:v>24.5</c:v>
                </c:pt>
                <c:pt idx="23">
                  <c:v>24.4</c:v>
                </c:pt>
                <c:pt idx="24">
                  <c:v>23.1</c:v>
                </c:pt>
              </c:numCache>
            </c:numRef>
          </c:val>
          <c:smooth val="0"/>
          <c:extLst>
            <c:ext xmlns:c16="http://schemas.microsoft.com/office/drawing/2014/chart" uri="{C3380CC4-5D6E-409C-BE32-E72D297353CC}">
              <c16:uniqueId val="{00000002-7389-46FF-8C19-9CC64F4AC5EF}"/>
            </c:ext>
          </c:extLst>
        </c:ser>
        <c:ser>
          <c:idx val="3"/>
          <c:order val="3"/>
          <c:tx>
            <c:strRef>
              <c:f>'[Nodarbin., bezdarbn. pec izglitibas liimena NBA060.xlsx]Nodarbinātie'!$B$7</c:f>
              <c:strCache>
                <c:ptCount val="1"/>
                <c:pt idx="0">
                  <c:v>Pamatskolas izglītība</c:v>
                </c:pt>
              </c:strCache>
            </c:strRef>
          </c:tx>
          <c:spPr>
            <a:ln w="28575" cap="rnd">
              <a:solidFill>
                <a:schemeClr val="accent2">
                  <a:lumMod val="40000"/>
                  <a:lumOff val="60000"/>
                </a:schemeClr>
              </a:solidFill>
              <a:round/>
            </a:ln>
            <a:effectLst/>
          </c:spPr>
          <c:marker>
            <c:symbol val="none"/>
          </c:marker>
          <c:cat>
            <c:strRef>
              <c:f>[1]Nodarbinātie!$C$3:$AA$3</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[1]Nodarbinātie!$C$7:$AA$7</c:f>
              <c:numCache>
                <c:formatCode>0.0</c:formatCode>
                <c:ptCount val="25"/>
                <c:pt idx="0">
                  <c:v>11.6</c:v>
                </c:pt>
                <c:pt idx="1">
                  <c:v>13</c:v>
                </c:pt>
                <c:pt idx="2">
                  <c:v>11.9</c:v>
                </c:pt>
                <c:pt idx="3">
                  <c:v>11.3</c:v>
                </c:pt>
                <c:pt idx="4">
                  <c:v>11.3</c:v>
                </c:pt>
                <c:pt idx="5">
                  <c:v>15.8</c:v>
                </c:pt>
                <c:pt idx="6">
                  <c:v>13.5</c:v>
                </c:pt>
                <c:pt idx="7">
                  <c:v>13.2</c:v>
                </c:pt>
                <c:pt idx="8">
                  <c:v>12.5</c:v>
                </c:pt>
                <c:pt idx="9">
                  <c:v>12.7</c:v>
                </c:pt>
                <c:pt idx="10">
                  <c:v>13.1</c:v>
                </c:pt>
                <c:pt idx="11">
                  <c:v>13.4</c:v>
                </c:pt>
                <c:pt idx="12">
                  <c:v>11.7</c:v>
                </c:pt>
                <c:pt idx="13">
                  <c:v>10.1</c:v>
                </c:pt>
                <c:pt idx="14">
                  <c:v>9</c:v>
                </c:pt>
                <c:pt idx="15">
                  <c:v>9</c:v>
                </c:pt>
                <c:pt idx="16">
                  <c:v>8.6</c:v>
                </c:pt>
                <c:pt idx="17">
                  <c:v>7.9</c:v>
                </c:pt>
                <c:pt idx="18">
                  <c:v>7.7</c:v>
                </c:pt>
                <c:pt idx="19">
                  <c:v>7.7</c:v>
                </c:pt>
                <c:pt idx="20">
                  <c:v>7.4</c:v>
                </c:pt>
                <c:pt idx="21">
                  <c:v>7.4</c:v>
                </c:pt>
                <c:pt idx="22">
                  <c:v>7.1</c:v>
                </c:pt>
                <c:pt idx="23">
                  <c:v>7.1</c:v>
                </c:pt>
                <c:pt idx="24">
                  <c:v>7</c:v>
                </c:pt>
              </c:numCache>
            </c:numRef>
          </c:val>
          <c:smooth val="0"/>
          <c:extLst>
            <c:ext xmlns:c16="http://schemas.microsoft.com/office/drawing/2014/chart" uri="{C3380CC4-5D6E-409C-BE32-E72D297353CC}">
              <c16:uniqueId val="{00000003-7389-46FF-8C19-9CC64F4AC5EF}"/>
            </c:ext>
          </c:extLst>
        </c:ser>
        <c:dLbls>
          <c:showLegendKey val="0"/>
          <c:showVal val="0"/>
          <c:showCatName val="0"/>
          <c:showSerName val="0"/>
          <c:showPercent val="0"/>
          <c:showBubbleSize val="0"/>
        </c:dLbls>
        <c:smooth val="0"/>
        <c:axId val="593990287"/>
        <c:axId val="593983215"/>
      </c:lineChart>
      <c:catAx>
        <c:axId val="593990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crossAx val="593983215"/>
        <c:crosses val="autoZero"/>
        <c:auto val="1"/>
        <c:lblAlgn val="ctr"/>
        <c:lblOffset val="100"/>
        <c:noMultiLvlLbl val="0"/>
      </c:catAx>
      <c:valAx>
        <c:axId val="59398321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crossAx val="593990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3EBF5"/>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v-LV" sz="1200" b="0"/>
              <a:t>Bezdarbnieki pēc izglītības līmeņa, 1996.-2020.gads, procentos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'[Nodarbin., bezdarbn. pec izglitibas liimena NBA060.xlsx]Bezdarbnieki'!$B$4</c:f>
              <c:strCache>
                <c:ptCount val="1"/>
                <c:pt idx="0">
                  <c:v>Augstākā izglītība</c:v>
                </c:pt>
              </c:strCache>
            </c:strRef>
          </c:tx>
          <c:spPr>
            <a:ln w="28575" cap="rnd">
              <a:solidFill>
                <a:schemeClr val="accent4">
                  <a:lumMod val="75000"/>
                </a:schemeClr>
              </a:solidFill>
              <a:round/>
            </a:ln>
            <a:effectLst/>
          </c:spPr>
          <c:marker>
            <c:symbol val="none"/>
          </c:marker>
          <c:cat>
            <c:strRef>
              <c:f>[1]Bezdarbnieki!$C$3:$AA$3</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[1]Bezdarbnieki!$C$4:$AA$4</c:f>
              <c:numCache>
                <c:formatCode>0.0</c:formatCode>
                <c:ptCount val="25"/>
                <c:pt idx="0">
                  <c:v>9.1</c:v>
                </c:pt>
                <c:pt idx="1">
                  <c:v>8</c:v>
                </c:pt>
                <c:pt idx="2">
                  <c:v>8.1999999999999993</c:v>
                </c:pt>
                <c:pt idx="3">
                  <c:v>9.1</c:v>
                </c:pt>
                <c:pt idx="4">
                  <c:v>8.5</c:v>
                </c:pt>
                <c:pt idx="5">
                  <c:v>8</c:v>
                </c:pt>
                <c:pt idx="6">
                  <c:v>8.9</c:v>
                </c:pt>
                <c:pt idx="7">
                  <c:v>8.5</c:v>
                </c:pt>
                <c:pt idx="8">
                  <c:v>9.1999999999999993</c:v>
                </c:pt>
                <c:pt idx="9">
                  <c:v>10.5</c:v>
                </c:pt>
                <c:pt idx="10">
                  <c:v>13.1</c:v>
                </c:pt>
                <c:pt idx="11">
                  <c:v>14.2</c:v>
                </c:pt>
                <c:pt idx="12">
                  <c:v>13.6</c:v>
                </c:pt>
                <c:pt idx="13">
                  <c:v>11.9</c:v>
                </c:pt>
                <c:pt idx="14">
                  <c:v>15.3</c:v>
                </c:pt>
                <c:pt idx="15">
                  <c:v>12.9</c:v>
                </c:pt>
                <c:pt idx="16">
                  <c:v>13.3</c:v>
                </c:pt>
                <c:pt idx="17">
                  <c:v>16.5</c:v>
                </c:pt>
                <c:pt idx="18">
                  <c:v>16.5</c:v>
                </c:pt>
                <c:pt idx="19">
                  <c:v>16.7</c:v>
                </c:pt>
                <c:pt idx="20">
                  <c:v>15.6</c:v>
                </c:pt>
                <c:pt idx="21">
                  <c:v>15.8</c:v>
                </c:pt>
                <c:pt idx="22">
                  <c:v>17.7</c:v>
                </c:pt>
                <c:pt idx="23">
                  <c:v>21.6</c:v>
                </c:pt>
                <c:pt idx="24">
                  <c:v>24.4</c:v>
                </c:pt>
              </c:numCache>
            </c:numRef>
          </c:val>
          <c:smooth val="0"/>
          <c:extLst>
            <c:ext xmlns:c16="http://schemas.microsoft.com/office/drawing/2014/chart" uri="{C3380CC4-5D6E-409C-BE32-E72D297353CC}">
              <c16:uniqueId val="{00000000-0D64-4CC5-B0D2-6597902D69D7}"/>
            </c:ext>
          </c:extLst>
        </c:ser>
        <c:ser>
          <c:idx val="1"/>
          <c:order val="1"/>
          <c:tx>
            <c:strRef>
              <c:f>'[Nodarbin., bezdarbn. pec izglitibas liimena NBA060.xlsx]Bezdarbnieki'!$B$5</c:f>
              <c:strCache>
                <c:ptCount val="1"/>
                <c:pt idx="0">
                  <c:v>Arodizglītība vai profesionālā vidējā izglītība</c:v>
                </c:pt>
              </c:strCache>
            </c:strRef>
          </c:tx>
          <c:spPr>
            <a:ln w="28575" cap="rnd">
              <a:solidFill>
                <a:schemeClr val="accent6">
                  <a:lumMod val="75000"/>
                </a:schemeClr>
              </a:solidFill>
              <a:round/>
            </a:ln>
            <a:effectLst/>
          </c:spPr>
          <c:marker>
            <c:symbol val="none"/>
          </c:marker>
          <c:cat>
            <c:strRef>
              <c:f>[1]Bezdarbnieki!$C$3:$AA$3</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[1]Bezdarbnieki!$C$5:$AA$5</c:f>
              <c:numCache>
                <c:formatCode>0.0</c:formatCode>
                <c:ptCount val="25"/>
                <c:pt idx="0">
                  <c:v>40.799999999999997</c:v>
                </c:pt>
                <c:pt idx="1">
                  <c:v>39.6</c:v>
                </c:pt>
                <c:pt idx="2">
                  <c:v>39.1</c:v>
                </c:pt>
                <c:pt idx="3">
                  <c:v>42.3</c:v>
                </c:pt>
                <c:pt idx="4">
                  <c:v>43.1</c:v>
                </c:pt>
                <c:pt idx="5">
                  <c:v>36.4</c:v>
                </c:pt>
                <c:pt idx="6">
                  <c:v>36.6</c:v>
                </c:pt>
                <c:pt idx="7">
                  <c:v>35.299999999999997</c:v>
                </c:pt>
                <c:pt idx="8">
                  <c:v>36</c:v>
                </c:pt>
                <c:pt idx="9">
                  <c:v>36.1</c:v>
                </c:pt>
                <c:pt idx="10">
                  <c:v>30.3</c:v>
                </c:pt>
                <c:pt idx="11">
                  <c:v>31.5</c:v>
                </c:pt>
                <c:pt idx="12">
                  <c:v>33.9</c:v>
                </c:pt>
                <c:pt idx="13">
                  <c:v>34.299999999999997</c:v>
                </c:pt>
                <c:pt idx="14">
                  <c:v>35.1</c:v>
                </c:pt>
                <c:pt idx="15">
                  <c:v>34.6</c:v>
                </c:pt>
                <c:pt idx="16">
                  <c:v>36</c:v>
                </c:pt>
                <c:pt idx="17">
                  <c:v>32.5</c:v>
                </c:pt>
                <c:pt idx="18">
                  <c:v>32.799999999999997</c:v>
                </c:pt>
                <c:pt idx="19">
                  <c:v>34.5</c:v>
                </c:pt>
                <c:pt idx="20">
                  <c:v>33.5</c:v>
                </c:pt>
                <c:pt idx="21">
                  <c:v>30.4</c:v>
                </c:pt>
                <c:pt idx="22">
                  <c:v>31.5</c:v>
                </c:pt>
                <c:pt idx="23">
                  <c:v>33.299999999999997</c:v>
                </c:pt>
                <c:pt idx="24">
                  <c:v>30.4</c:v>
                </c:pt>
              </c:numCache>
            </c:numRef>
          </c:val>
          <c:smooth val="0"/>
          <c:extLst>
            <c:ext xmlns:c16="http://schemas.microsoft.com/office/drawing/2014/chart" uri="{C3380CC4-5D6E-409C-BE32-E72D297353CC}">
              <c16:uniqueId val="{00000001-0D64-4CC5-B0D2-6597902D69D7}"/>
            </c:ext>
          </c:extLst>
        </c:ser>
        <c:ser>
          <c:idx val="2"/>
          <c:order val="2"/>
          <c:tx>
            <c:strRef>
              <c:f>'[Nodarbin., bezdarbn. pec izglitibas liimena NBA060.xlsx]Bezdarbnieki'!$B$6</c:f>
              <c:strCache>
                <c:ptCount val="1"/>
                <c:pt idx="0">
                  <c:v>Vispārējā vidējā izglītība</c:v>
                </c:pt>
              </c:strCache>
            </c:strRef>
          </c:tx>
          <c:spPr>
            <a:ln w="28575" cap="rnd">
              <a:solidFill>
                <a:schemeClr val="accent3"/>
              </a:solidFill>
              <a:round/>
            </a:ln>
            <a:effectLst/>
          </c:spPr>
          <c:marker>
            <c:symbol val="none"/>
          </c:marker>
          <c:cat>
            <c:strRef>
              <c:f>[1]Bezdarbnieki!$C$3:$AA$3</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[1]Bezdarbnieki!$C$6:$AA$6</c:f>
              <c:numCache>
                <c:formatCode>0.0</c:formatCode>
                <c:ptCount val="25"/>
                <c:pt idx="0">
                  <c:v>26.5</c:v>
                </c:pt>
                <c:pt idx="1">
                  <c:v>32.9</c:v>
                </c:pt>
                <c:pt idx="2">
                  <c:v>33</c:v>
                </c:pt>
                <c:pt idx="3">
                  <c:v>29.2</c:v>
                </c:pt>
                <c:pt idx="4">
                  <c:v>27.2</c:v>
                </c:pt>
                <c:pt idx="5">
                  <c:v>27.3</c:v>
                </c:pt>
                <c:pt idx="6">
                  <c:v>29</c:v>
                </c:pt>
                <c:pt idx="7">
                  <c:v>31.3</c:v>
                </c:pt>
                <c:pt idx="8">
                  <c:v>31.9</c:v>
                </c:pt>
                <c:pt idx="9">
                  <c:v>29.9</c:v>
                </c:pt>
                <c:pt idx="10">
                  <c:v>25.1</c:v>
                </c:pt>
                <c:pt idx="11">
                  <c:v>27.5</c:v>
                </c:pt>
                <c:pt idx="12">
                  <c:v>27.1</c:v>
                </c:pt>
                <c:pt idx="13">
                  <c:v>31.7</c:v>
                </c:pt>
                <c:pt idx="14">
                  <c:v>30.8</c:v>
                </c:pt>
                <c:pt idx="15">
                  <c:v>32.299999999999997</c:v>
                </c:pt>
                <c:pt idx="16">
                  <c:v>32.6</c:v>
                </c:pt>
                <c:pt idx="17">
                  <c:v>30.8</c:v>
                </c:pt>
                <c:pt idx="18">
                  <c:v>30.1</c:v>
                </c:pt>
                <c:pt idx="19">
                  <c:v>28.5</c:v>
                </c:pt>
                <c:pt idx="20">
                  <c:v>32.4</c:v>
                </c:pt>
                <c:pt idx="21">
                  <c:v>35</c:v>
                </c:pt>
                <c:pt idx="22">
                  <c:v>32.5</c:v>
                </c:pt>
                <c:pt idx="23">
                  <c:v>27.6</c:v>
                </c:pt>
                <c:pt idx="24">
                  <c:v>27</c:v>
                </c:pt>
              </c:numCache>
            </c:numRef>
          </c:val>
          <c:smooth val="0"/>
          <c:extLst>
            <c:ext xmlns:c16="http://schemas.microsoft.com/office/drawing/2014/chart" uri="{C3380CC4-5D6E-409C-BE32-E72D297353CC}">
              <c16:uniqueId val="{00000002-0D64-4CC5-B0D2-6597902D69D7}"/>
            </c:ext>
          </c:extLst>
        </c:ser>
        <c:ser>
          <c:idx val="3"/>
          <c:order val="3"/>
          <c:tx>
            <c:strRef>
              <c:f>'[Nodarbin., bezdarbn. pec izglitibas liimena NBA060.xlsx]Bezdarbnieki'!$B$7</c:f>
              <c:strCache>
                <c:ptCount val="1"/>
                <c:pt idx="0">
                  <c:v>Pamatskolas izglītība</c:v>
                </c:pt>
              </c:strCache>
            </c:strRef>
          </c:tx>
          <c:spPr>
            <a:ln w="28575" cap="rnd">
              <a:solidFill>
                <a:schemeClr val="accent2">
                  <a:lumMod val="40000"/>
                  <a:lumOff val="60000"/>
                </a:schemeClr>
              </a:solidFill>
              <a:round/>
            </a:ln>
            <a:effectLst/>
          </c:spPr>
          <c:marker>
            <c:symbol val="none"/>
          </c:marker>
          <c:cat>
            <c:strRef>
              <c:f>[1]Bezdarbnieki!$C$3:$AA$3</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[1]Bezdarbnieki!$C$7:$AA$7</c:f>
              <c:numCache>
                <c:formatCode>0.0</c:formatCode>
                <c:ptCount val="25"/>
                <c:pt idx="0">
                  <c:v>19.899999999999999</c:v>
                </c:pt>
                <c:pt idx="1">
                  <c:v>16.899999999999999</c:v>
                </c:pt>
                <c:pt idx="2">
                  <c:v>16.2</c:v>
                </c:pt>
                <c:pt idx="3">
                  <c:v>16.899999999999999</c:v>
                </c:pt>
                <c:pt idx="4">
                  <c:v>18.3</c:v>
                </c:pt>
                <c:pt idx="5">
                  <c:v>25.5</c:v>
                </c:pt>
                <c:pt idx="6">
                  <c:v>23</c:v>
                </c:pt>
                <c:pt idx="7">
                  <c:v>23.1</c:v>
                </c:pt>
                <c:pt idx="8">
                  <c:v>21.3</c:v>
                </c:pt>
                <c:pt idx="9">
                  <c:v>21.9</c:v>
                </c:pt>
                <c:pt idx="10">
                  <c:v>28.3</c:v>
                </c:pt>
                <c:pt idx="11">
                  <c:v>22.9</c:v>
                </c:pt>
                <c:pt idx="12">
                  <c:v>22.8</c:v>
                </c:pt>
                <c:pt idx="13">
                  <c:v>21</c:v>
                </c:pt>
                <c:pt idx="14">
                  <c:v>18</c:v>
                </c:pt>
                <c:pt idx="15">
                  <c:v>18.899999999999999</c:v>
                </c:pt>
                <c:pt idx="16">
                  <c:v>16.600000000000001</c:v>
                </c:pt>
                <c:pt idx="17">
                  <c:v>19.399999999999999</c:v>
                </c:pt>
                <c:pt idx="18">
                  <c:v>18.899999999999999</c:v>
                </c:pt>
                <c:pt idx="19">
                  <c:v>19.399999999999999</c:v>
                </c:pt>
                <c:pt idx="20">
                  <c:v>17.8</c:v>
                </c:pt>
                <c:pt idx="21">
                  <c:v>17.2</c:v>
                </c:pt>
                <c:pt idx="22">
                  <c:v>16.899999999999999</c:v>
                </c:pt>
                <c:pt idx="23">
                  <c:v>16.600000000000001</c:v>
                </c:pt>
                <c:pt idx="24">
                  <c:v>16.399999999999999</c:v>
                </c:pt>
              </c:numCache>
            </c:numRef>
          </c:val>
          <c:smooth val="0"/>
          <c:extLst>
            <c:ext xmlns:c16="http://schemas.microsoft.com/office/drawing/2014/chart" uri="{C3380CC4-5D6E-409C-BE32-E72D297353CC}">
              <c16:uniqueId val="{00000003-0D64-4CC5-B0D2-6597902D69D7}"/>
            </c:ext>
          </c:extLst>
        </c:ser>
        <c:dLbls>
          <c:showLegendKey val="0"/>
          <c:showVal val="0"/>
          <c:showCatName val="0"/>
          <c:showSerName val="0"/>
          <c:showPercent val="0"/>
          <c:showBubbleSize val="0"/>
        </c:dLbls>
        <c:smooth val="0"/>
        <c:axId val="594030223"/>
        <c:axId val="594027727"/>
      </c:lineChart>
      <c:catAx>
        <c:axId val="594030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crossAx val="594027727"/>
        <c:crosses val="autoZero"/>
        <c:auto val="1"/>
        <c:lblAlgn val="ctr"/>
        <c:lblOffset val="100"/>
        <c:noMultiLvlLbl val="0"/>
      </c:catAx>
      <c:valAx>
        <c:axId val="5940277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crossAx val="594030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8EEF8"/>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5E5F6-EDA2-43E5-BC9B-1F4B6DAD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6</Pages>
  <Words>3627</Words>
  <Characters>2068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 Reinfelde</dc:creator>
  <cp:lastModifiedBy>Ieva Urbane</cp:lastModifiedBy>
  <cp:revision>20</cp:revision>
  <cp:lastPrinted>2019-02-11T15:26:00Z</cp:lastPrinted>
  <dcterms:created xsi:type="dcterms:W3CDTF">2019-02-11T13:38:00Z</dcterms:created>
  <dcterms:modified xsi:type="dcterms:W3CDTF">2021-07-23T11:44:00Z</dcterms:modified>
</cp:coreProperties>
</file>